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B6666A8" w:rsidR="002A345C" w:rsidRDefault="00A745DD" w:rsidP="00A745DD">
      <w:pPr>
        <w:pStyle w:val="Heading1"/>
        <w:rPr>
          <w:sz w:val="34"/>
          <w:szCs w:val="34"/>
        </w:rPr>
      </w:pPr>
      <w:r>
        <w:t xml:space="preserve">PART </w:t>
      </w:r>
      <w:r w:rsidR="00F8755E">
        <w:t>C</w:t>
      </w:r>
      <w:r>
        <w:t xml:space="preserve">, CHAPTER </w:t>
      </w:r>
      <w:r w:rsidR="00F8755E">
        <w:t>8.4</w:t>
      </w:r>
      <w:r>
        <w:t>:</w:t>
      </w:r>
      <w:r w:rsidR="00FB144E">
        <w:br/>
      </w:r>
      <w:r w:rsidR="00F8755E" w:rsidRPr="003171AF">
        <w:rPr>
          <w:sz w:val="34"/>
          <w:szCs w:val="34"/>
        </w:rPr>
        <w:t>CONTRACTED PRE-</w:t>
      </w:r>
      <w:r w:rsidR="00FB144E" w:rsidRPr="003171AF">
        <w:rPr>
          <w:sz w:val="34"/>
          <w:szCs w:val="34"/>
        </w:rPr>
        <w:t>EMPLOYMENT TRANSITION SERVICES</w:t>
      </w:r>
    </w:p>
    <w:tbl>
      <w:tblPr>
        <w:tblW w:w="10214" w:type="dxa"/>
        <w:tblLayout w:type="fixed"/>
        <w:tblLook w:val="04A0" w:firstRow="1" w:lastRow="0" w:firstColumn="1" w:lastColumn="0" w:noHBand="0" w:noVBand="1"/>
      </w:tblPr>
      <w:tblGrid>
        <w:gridCol w:w="1203"/>
        <w:gridCol w:w="6622"/>
        <w:gridCol w:w="1080"/>
        <w:gridCol w:w="1309"/>
      </w:tblGrid>
      <w:tr w:rsidR="00D013F0" w:rsidRPr="00D013F0" w14:paraId="5A47389A" w14:textId="77777777" w:rsidTr="006D48B4">
        <w:trPr>
          <w:trHeight w:val="710"/>
        </w:trPr>
        <w:tc>
          <w:tcPr>
            <w:tcW w:w="1203"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28F2AA96" w14:textId="77777777" w:rsidR="00D013F0" w:rsidRPr="00D013F0" w:rsidRDefault="00D013F0" w:rsidP="00D013F0">
            <w:pPr>
              <w:spacing w:before="0" w:after="0" w:line="240" w:lineRule="auto"/>
              <w:rPr>
                <w:rFonts w:eastAsia="Times New Roman"/>
                <w:b/>
                <w:bCs/>
                <w:color w:val="000000"/>
                <w:kern w:val="0"/>
                <w14:ligatures w14:val="none"/>
              </w:rPr>
            </w:pPr>
            <w:r w:rsidRPr="00D013F0">
              <w:rPr>
                <w:rFonts w:eastAsia="Times New Roman"/>
                <w:b/>
                <w:bCs/>
                <w:color w:val="000000"/>
                <w:kern w:val="0"/>
                <w:lang w:val="en" w:eastAsia="ja-JP"/>
                <w14:ligatures w14:val="none"/>
              </w:rPr>
              <w:t>Policy Number</w:t>
            </w:r>
          </w:p>
        </w:tc>
        <w:tc>
          <w:tcPr>
            <w:tcW w:w="662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00870840" w14:textId="77777777" w:rsidR="00D013F0" w:rsidRPr="00D013F0" w:rsidRDefault="00D013F0" w:rsidP="00D013F0">
            <w:pPr>
              <w:spacing w:before="0" w:after="0" w:line="240" w:lineRule="auto"/>
              <w:rPr>
                <w:rFonts w:eastAsia="Times New Roman"/>
                <w:b/>
                <w:bCs/>
                <w:color w:val="000000"/>
                <w:kern w:val="0"/>
                <w14:ligatures w14:val="none"/>
              </w:rPr>
            </w:pPr>
            <w:r w:rsidRPr="00D013F0">
              <w:rPr>
                <w:rFonts w:eastAsia="Times New Roman"/>
                <w:b/>
                <w:bCs/>
                <w:color w:val="000000"/>
                <w:kern w:val="0"/>
                <w:lang w:val="en" w:eastAsia="ja-JP"/>
                <w14:ligatures w14:val="none"/>
              </w:rPr>
              <w:t>Authority</w:t>
            </w:r>
          </w:p>
        </w:tc>
        <w:tc>
          <w:tcPr>
            <w:tcW w:w="1080"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75424DD" w14:textId="77777777" w:rsidR="00D013F0" w:rsidRPr="00D013F0" w:rsidRDefault="00D013F0" w:rsidP="00D013F0">
            <w:pPr>
              <w:spacing w:before="0" w:after="0" w:line="240" w:lineRule="auto"/>
              <w:rPr>
                <w:rFonts w:eastAsia="Times New Roman"/>
                <w:b/>
                <w:bCs/>
                <w:color w:val="000000"/>
                <w:kern w:val="0"/>
                <w14:ligatures w14:val="none"/>
              </w:rPr>
            </w:pPr>
            <w:r w:rsidRPr="00D013F0">
              <w:rPr>
                <w:rFonts w:eastAsia="Times New Roman"/>
                <w:b/>
                <w:bCs/>
                <w:color w:val="000000"/>
                <w:kern w:val="0"/>
                <w:lang w:val="en" w:eastAsia="ja-JP"/>
                <w14:ligatures w14:val="none"/>
              </w:rPr>
              <w:t xml:space="preserve">Scope </w:t>
            </w:r>
          </w:p>
        </w:tc>
        <w:tc>
          <w:tcPr>
            <w:tcW w:w="1309"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217132B" w14:textId="77777777" w:rsidR="00D013F0" w:rsidRPr="00D013F0" w:rsidRDefault="00D013F0" w:rsidP="00D013F0">
            <w:pPr>
              <w:spacing w:before="0" w:after="0" w:line="240" w:lineRule="auto"/>
              <w:rPr>
                <w:rFonts w:eastAsia="Times New Roman"/>
                <w:b/>
                <w:bCs/>
                <w:color w:val="000000"/>
                <w:kern w:val="0"/>
                <w14:ligatures w14:val="none"/>
              </w:rPr>
            </w:pPr>
            <w:r w:rsidRPr="00D013F0">
              <w:rPr>
                <w:rFonts w:eastAsia="Times New Roman"/>
                <w:b/>
                <w:bCs/>
                <w:color w:val="000000"/>
                <w:kern w:val="0"/>
                <w:lang w:val="en" w:eastAsia="ja-JP"/>
                <w14:ligatures w14:val="none"/>
              </w:rPr>
              <w:t>Effective Date</w:t>
            </w:r>
          </w:p>
        </w:tc>
      </w:tr>
      <w:tr w:rsidR="00255DCF" w:rsidRPr="00D013F0" w14:paraId="1B902C78" w14:textId="77777777" w:rsidTr="00D3236B">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9535FEE" w14:textId="77777777" w:rsidR="00255DCF" w:rsidRPr="00D013F0" w:rsidRDefault="00255DCF" w:rsidP="00255DCF">
            <w:pPr>
              <w:spacing w:before="0" w:after="0" w:line="240" w:lineRule="auto"/>
              <w:rPr>
                <w:rFonts w:eastAsia="Times New Roman"/>
                <w:color w:val="000000"/>
                <w:kern w:val="0"/>
                <w14:ligatures w14:val="none"/>
              </w:rPr>
            </w:pPr>
            <w:r w:rsidRPr="00D013F0">
              <w:rPr>
                <w:rFonts w:eastAsia="Times New Roman"/>
                <w:color w:val="000000"/>
                <w:kern w:val="0"/>
                <w:lang w:val="en" w:eastAsia="ja-JP"/>
                <w14:ligatures w14:val="none"/>
              </w:rPr>
              <w:t>Part C, Chapter 8.4</w:t>
            </w:r>
          </w:p>
        </w:tc>
        <w:tc>
          <w:tcPr>
            <w:tcW w:w="6622" w:type="dxa"/>
            <w:tcBorders>
              <w:top w:val="nil"/>
              <w:left w:val="nil"/>
              <w:bottom w:val="single" w:sz="4" w:space="0" w:color="auto"/>
              <w:right w:val="single" w:sz="4" w:space="0" w:color="auto"/>
            </w:tcBorders>
            <w:shd w:val="clear" w:color="auto" w:fill="auto"/>
            <w:noWrap/>
            <w:vAlign w:val="center"/>
            <w:hideMark/>
          </w:tcPr>
          <w:p w14:paraId="0E94348F" w14:textId="48DDD5BC" w:rsidR="00255DCF" w:rsidRPr="00D013F0" w:rsidRDefault="00255DCF" w:rsidP="00255DCF">
            <w:pPr>
              <w:spacing w:before="0" w:after="0" w:line="240" w:lineRule="auto"/>
              <w:rPr>
                <w:rFonts w:eastAsia="Times New Roman"/>
                <w:color w:val="000000"/>
                <w:kern w:val="0"/>
                <w14:ligatures w14:val="none"/>
              </w:rPr>
            </w:pPr>
            <w:r w:rsidRPr="00F8755E">
              <w:t>34CFR </w:t>
            </w:r>
            <w:hyperlink r:id="rId10" w:anchor="p-361.48(a)" w:tgtFrame="_blank" w:tooltip="https://www.ecfr.gov/current/title-34/part-361#p-361.48(a)" w:history="1">
              <w:r w:rsidRPr="00F8755E">
                <w:rPr>
                  <w:rStyle w:val="Hyperlink"/>
                </w:rPr>
                <w:t>§361.48(a)</w:t>
              </w:r>
            </w:hyperlink>
            <w:r w:rsidRPr="00F8755E">
              <w:t>, </w:t>
            </w:r>
            <w:hyperlink r:id="rId11" w:anchor="p-361.5(c)(51)" w:tgtFrame="_blank" w:tooltip="https://www.ecfr.gov/current/title-34/part-361#p-361.5(c)(51)" w:history="1">
              <w:r w:rsidRPr="00F8755E">
                <w:rPr>
                  <w:rStyle w:val="Hyperlink"/>
                </w:rPr>
                <w:t>§361.5(c)(51)</w:t>
              </w:r>
            </w:hyperlink>
            <w:r w:rsidRPr="00F8755E">
              <w:t>, </w:t>
            </w:r>
            <w:hyperlink r:id="rId12" w:anchor="p-361.65(a)(3)" w:tgtFrame="_blank" w:tooltip="https://www.ecfr.gov/current/title-34/part-361/section-361.65#p-361.65(a)(3)" w:history="1">
              <w:r w:rsidRPr="00F8755E">
                <w:rPr>
                  <w:rStyle w:val="Hyperlink"/>
                </w:rPr>
                <w:t>§361.65(a)(3)</w:t>
              </w:r>
            </w:hyperlink>
            <w:r w:rsidRPr="00F8755E">
              <w:t>, </w:t>
            </w:r>
            <w:hyperlink r:id="rId13" w:anchor="p-361.5(c)(2)" w:tgtFrame="_blank" w:tooltip="https://www.ecfr.gov/current/title-34/part-361#p-361.5(c)(2)" w:history="1">
              <w:r w:rsidRPr="00F8755E">
                <w:rPr>
                  <w:rStyle w:val="Hyperlink"/>
                </w:rPr>
                <w:t>§361.5(c)(2)</w:t>
              </w:r>
            </w:hyperlink>
            <w:r w:rsidRPr="00F8755E">
              <w:t>, </w:t>
            </w:r>
            <w:hyperlink r:id="rId14" w:tgtFrame="_blank" w:tooltip="https://www.ecfr.gov/current/title-34/section-361.22" w:history="1">
              <w:r w:rsidRPr="00F8755E">
                <w:rPr>
                  <w:rStyle w:val="Hyperlink"/>
                </w:rPr>
                <w:t>§361.22</w:t>
              </w:r>
            </w:hyperlink>
            <w:r w:rsidRPr="00F8755E">
              <w:t>, Labor Code </w:t>
            </w:r>
            <w:hyperlink r:id="rId15" w:anchor=":~:text=352.108.,programs%20or%20competitive%20integrated%20employment." w:tgtFrame="_blank" w:tooltip="https://statutes.capitol.texas.gov/docs/la/htm/la.352.htm#:~:text=352.108.,programs%20or%20competitive%20integrated%20employment." w:history="1">
              <w:r w:rsidRPr="00F8755E">
                <w:rPr>
                  <w:rStyle w:val="Hyperlink"/>
                </w:rPr>
                <w:t>§352.108</w:t>
              </w:r>
            </w:hyperlink>
            <w:r w:rsidRPr="00F8755E">
              <w:t>, and Final Interpretation </w:t>
            </w:r>
            <w:hyperlink r:id="rId16" w:tgtFrame="_blank" w:tooltip="https://www.federalregister.gov/documents/2022/03/21/2022-05940/state-vocational-rehabilitation-services-program" w:history="1">
              <w:r w:rsidRPr="00F8755E">
                <w:rPr>
                  <w:rStyle w:val="Hyperlink"/>
                </w:rPr>
                <w:t>87 FR 15889</w:t>
              </w:r>
            </w:hyperlink>
          </w:p>
        </w:tc>
        <w:tc>
          <w:tcPr>
            <w:tcW w:w="1080" w:type="dxa"/>
            <w:tcBorders>
              <w:top w:val="nil"/>
              <w:left w:val="nil"/>
              <w:bottom w:val="single" w:sz="4" w:space="0" w:color="auto"/>
              <w:right w:val="single" w:sz="4" w:space="0" w:color="auto"/>
            </w:tcBorders>
            <w:shd w:val="clear" w:color="auto" w:fill="auto"/>
            <w:noWrap/>
            <w:vAlign w:val="bottom"/>
            <w:hideMark/>
          </w:tcPr>
          <w:p w14:paraId="66B1189B" w14:textId="77777777" w:rsidR="00255DCF" w:rsidRPr="00D013F0" w:rsidRDefault="00255DCF" w:rsidP="00255DCF">
            <w:pPr>
              <w:spacing w:before="0" w:after="0" w:line="240" w:lineRule="auto"/>
              <w:rPr>
                <w:rFonts w:eastAsia="Times New Roman"/>
                <w:color w:val="000000"/>
                <w:kern w:val="0"/>
                <w14:ligatures w14:val="none"/>
              </w:rPr>
            </w:pPr>
            <w:r w:rsidRPr="00D013F0">
              <w:rPr>
                <w:rFonts w:eastAsia="Times New Roman"/>
                <w:color w:val="000000"/>
                <w:kern w:val="0"/>
                <w14:ligatures w14:val="none"/>
              </w:rPr>
              <w:t>All TWC-VR staff</w:t>
            </w:r>
          </w:p>
        </w:tc>
        <w:tc>
          <w:tcPr>
            <w:tcW w:w="1309" w:type="dxa"/>
            <w:tcBorders>
              <w:top w:val="nil"/>
              <w:left w:val="nil"/>
              <w:bottom w:val="single" w:sz="4" w:space="0" w:color="auto"/>
              <w:right w:val="single" w:sz="4" w:space="0" w:color="auto"/>
            </w:tcBorders>
            <w:shd w:val="clear" w:color="auto" w:fill="auto"/>
            <w:noWrap/>
            <w:vAlign w:val="bottom"/>
            <w:hideMark/>
          </w:tcPr>
          <w:p w14:paraId="3309D72A" w14:textId="77777777" w:rsidR="00255DCF" w:rsidRPr="00D013F0" w:rsidRDefault="00255DCF" w:rsidP="00255DCF">
            <w:pPr>
              <w:spacing w:before="0" w:after="0" w:line="240" w:lineRule="auto"/>
              <w:rPr>
                <w:rFonts w:eastAsia="Times New Roman"/>
                <w:color w:val="000000"/>
                <w:kern w:val="0"/>
                <w14:ligatures w14:val="none"/>
              </w:rPr>
            </w:pPr>
            <w:r w:rsidRPr="00D013F0">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CC11EE3" w14:textId="77777777" w:rsidR="00F8755E" w:rsidRPr="00DC5EBA" w:rsidRDefault="00F8755E" w:rsidP="00F8755E">
      <w:pPr>
        <w:spacing w:after="240"/>
      </w:pPr>
      <w:r w:rsidRPr="00DC5EBA">
        <w:t xml:space="preserve">Specifically, the purpose of this policy and these procedures is to ensure adherence </w:t>
      </w:r>
      <w:r>
        <w:t xml:space="preserve">to the provision of </w:t>
      </w:r>
      <w:proofErr w:type="gramStart"/>
      <w:r>
        <w:t>Pre-ETS</w:t>
      </w:r>
      <w:proofErr w:type="gramEnd"/>
      <w:r>
        <w:t xml:space="preserve"> services.</w:t>
      </w:r>
    </w:p>
    <w:p w14:paraId="077D4BD0" w14:textId="0E0D9B4E" w:rsidR="00F04098" w:rsidRDefault="00A001F3" w:rsidP="0033181C">
      <w:pPr>
        <w:pStyle w:val="Heading2"/>
      </w:pPr>
      <w:r>
        <w:t>DEFINITIONS</w:t>
      </w:r>
    </w:p>
    <w:p w14:paraId="173AA1A1" w14:textId="77777777" w:rsidR="004431A5" w:rsidRPr="003171AF" w:rsidRDefault="004431A5" w:rsidP="004431A5">
      <w:r w:rsidRPr="004431A5">
        <w:rPr>
          <w:u w:val="single"/>
        </w:rPr>
        <w:t>Bilateral Contractor</w:t>
      </w:r>
      <w:r w:rsidRPr="003171AF">
        <w:t>: A service contractor that agrees to specific duties or deliverables under the terms of a contract with TWC-VR.</w:t>
      </w:r>
    </w:p>
    <w:p w14:paraId="02F2604D" w14:textId="6CEB0C05" w:rsidR="00F8755E" w:rsidRPr="00165CCF" w:rsidRDefault="00F8755E" w:rsidP="003171AF">
      <w:r w:rsidRPr="00165CCF">
        <w:rPr>
          <w:u w:val="single"/>
        </w:rPr>
        <w:t>Informed Choice</w:t>
      </w:r>
      <w:r w:rsidRPr="00165CCF">
        <w:t xml:space="preserve">: The means by which a customer chooses their rehabilitation path, from options based on their needs and circumstances and the TWC-VR rules, as it relates to choosing </w:t>
      </w:r>
      <w:r w:rsidR="00FB144E" w:rsidRPr="00FB144E">
        <w:t xml:space="preserve">as it relates to choosing </w:t>
      </w:r>
      <w:proofErr w:type="gramStart"/>
      <w:r w:rsidR="00FB144E" w:rsidRPr="00FB144E">
        <w:t>Pre-ETS</w:t>
      </w:r>
      <w:proofErr w:type="gramEnd"/>
      <w:r w:rsidR="00FB144E" w:rsidRPr="00FB144E">
        <w:t xml:space="preserve"> services and the providers of those services</w:t>
      </w:r>
      <w:r w:rsidRPr="00165CCF">
        <w:t>. </w:t>
      </w:r>
    </w:p>
    <w:p w14:paraId="276516DB" w14:textId="77777777" w:rsidR="00F8755E" w:rsidRPr="00165CCF" w:rsidRDefault="00F8755E" w:rsidP="003171AF">
      <w:r w:rsidRPr="00165CCF">
        <w:rPr>
          <w:u w:val="single"/>
        </w:rPr>
        <w:t>Non-Traditional Provider</w:t>
      </w:r>
      <w:r w:rsidRPr="00165CCF">
        <w:t>: An individual who does not have a bilateral contract and who can help a customer achieve an employment goal. </w:t>
      </w:r>
    </w:p>
    <w:p w14:paraId="6C2AA1D4" w14:textId="77777777" w:rsidR="00F8755E" w:rsidRPr="00165CCF" w:rsidRDefault="00F8755E" w:rsidP="003171AF">
      <w:r w:rsidRPr="00165CCF">
        <w:rPr>
          <w:u w:val="single"/>
        </w:rPr>
        <w:t>Transition Educator Provider</w:t>
      </w:r>
      <w:r w:rsidRPr="00165CCF">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 </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57D05619" w14:textId="26352A14" w:rsidR="00BC1F9F" w:rsidRPr="00BC1F9F" w:rsidRDefault="00BC1F9F" w:rsidP="00BC1F9F">
      <w:r w:rsidRPr="00FB144E">
        <w:t>Pre-Employment Transition Services (Pre-ETS)</w:t>
      </w:r>
      <w:r>
        <w:t xml:space="preserve"> </w:t>
      </w:r>
      <w:r w:rsidRPr="00BC1F9F">
        <w:t>are designed to support students with disabilities</w:t>
      </w:r>
      <w:r>
        <w:t>, ages 14-22,</w:t>
      </w:r>
      <w:r w:rsidRPr="00BC1F9F">
        <w:t xml:space="preserve"> as they transition from school to post-school activities, including further education, vocational training, and CIE. These services are the earliest set of services provided by VR agencies to students with disabilities (SWD) for the purpose of beginning employment exploration and identifying career interests. </w:t>
      </w:r>
    </w:p>
    <w:p w14:paraId="38081345" w14:textId="609C146F" w:rsidR="00F8755E" w:rsidRPr="00FB144E" w:rsidRDefault="00F8755E" w:rsidP="00FB144E">
      <w:r w:rsidRPr="00FB144E">
        <w:t xml:space="preserve">The five </w:t>
      </w:r>
      <w:r w:rsidR="00BC1F9F">
        <w:t xml:space="preserve">required </w:t>
      </w:r>
      <w:proofErr w:type="gramStart"/>
      <w:r w:rsidRPr="00FB144E">
        <w:t>Pre-ETS</w:t>
      </w:r>
      <w:proofErr w:type="gramEnd"/>
      <w:r w:rsidRPr="00FB144E">
        <w:t xml:space="preserve"> categories are</w:t>
      </w:r>
      <w:r w:rsidR="00BC1F9F">
        <w:t xml:space="preserve"> as follows:</w:t>
      </w:r>
    </w:p>
    <w:p w14:paraId="28D81FA0" w14:textId="3FE7D036" w:rsidR="00F8755E" w:rsidRPr="00F8755E" w:rsidRDefault="00BC1F9F" w:rsidP="00F8755E">
      <w:pPr>
        <w:pStyle w:val="ListParagraph"/>
      </w:pPr>
      <w:r>
        <w:t>Career</w:t>
      </w:r>
      <w:r w:rsidRPr="00F8755E">
        <w:t xml:space="preserve"> </w:t>
      </w:r>
      <w:r>
        <w:t>E</w:t>
      </w:r>
      <w:r w:rsidR="00F8755E" w:rsidRPr="00F8755E">
        <w:t xml:space="preserve">xploration </w:t>
      </w:r>
      <w:r>
        <w:t>C</w:t>
      </w:r>
      <w:r w:rsidR="00F8755E" w:rsidRPr="00F8755E">
        <w:t>ounselin</w:t>
      </w:r>
      <w:r>
        <w:t>g;</w:t>
      </w:r>
    </w:p>
    <w:p w14:paraId="04B33445" w14:textId="2C6915AE" w:rsidR="00BC1F9F" w:rsidRDefault="00BC1F9F" w:rsidP="00BC1F9F">
      <w:pPr>
        <w:pStyle w:val="ListParagraph"/>
      </w:pPr>
      <w:r>
        <w:t>Work-based learning experiences, which may include in-school or after-school opportunities, or experiences outside the traditional school setting (including internships) that are provided in an integrated environment to the maximum extent possible;</w:t>
      </w:r>
    </w:p>
    <w:p w14:paraId="064203A3" w14:textId="5788A309" w:rsidR="00F8755E" w:rsidRPr="00F8755E" w:rsidRDefault="00F8755E" w:rsidP="003171AF">
      <w:pPr>
        <w:pStyle w:val="ListParagraph"/>
        <w:numPr>
          <w:ilvl w:val="0"/>
          <w:numId w:val="0"/>
        </w:numPr>
        <w:ind w:left="720"/>
      </w:pPr>
      <w:r w:rsidRPr="00F8755E">
        <w:t xml:space="preserve">For information about services that allow a student to be placed in </w:t>
      </w:r>
      <w:r w:rsidR="003171AF" w:rsidRPr="00F8755E">
        <w:t>paid</w:t>
      </w:r>
      <w:r w:rsidRPr="00F8755E">
        <w:t xml:space="preserve"> or unpaid short-term experience.   </w:t>
      </w:r>
    </w:p>
    <w:p w14:paraId="2D9234C5" w14:textId="17BAD2C1" w:rsidR="00F8755E" w:rsidRPr="00F8755E" w:rsidRDefault="00F8755E" w:rsidP="00F8755E">
      <w:pPr>
        <w:pStyle w:val="ListParagraph"/>
      </w:pPr>
      <w:r w:rsidRPr="00F8755E">
        <w:t xml:space="preserve">Counseling on </w:t>
      </w:r>
      <w:r w:rsidR="00BC1F9F">
        <w:t xml:space="preserve">opportunities </w:t>
      </w:r>
      <w:r w:rsidR="00BC1F9F" w:rsidRPr="00BC1F9F">
        <w:t>for enrollment in comprehensive transition or postsecondary educational programs at institutions of higher education;</w:t>
      </w:r>
    </w:p>
    <w:p w14:paraId="1567665F" w14:textId="6480CCEC" w:rsidR="00BC1F9F" w:rsidRDefault="00BC1F9F" w:rsidP="00BC1F9F">
      <w:pPr>
        <w:pStyle w:val="ListParagraph"/>
      </w:pPr>
      <w:r>
        <w:t>Workplace readiness training to develop social skills and independent living; and</w:t>
      </w:r>
    </w:p>
    <w:p w14:paraId="29F16C85" w14:textId="09D04157" w:rsidR="00BC1F9F" w:rsidRDefault="00BC1F9F" w:rsidP="00BC1F9F">
      <w:pPr>
        <w:pStyle w:val="ListParagraph"/>
      </w:pPr>
      <w:r>
        <w:t>Instruction on self-advocacy, including peer mentoring.</w:t>
      </w:r>
    </w:p>
    <w:p w14:paraId="2FDB16E6" w14:textId="5895742D" w:rsidR="00F8755E" w:rsidRDefault="00F8755E" w:rsidP="00F8755E">
      <w:pPr>
        <w:pStyle w:val="Heading3"/>
      </w:pPr>
      <w:r>
        <w:t xml:space="preserve">Pre-ETS </w:t>
      </w:r>
      <w:r w:rsidRPr="00001C68">
        <w:t>Parameters</w:t>
      </w:r>
    </w:p>
    <w:p w14:paraId="32594E85" w14:textId="66C30846" w:rsidR="00F8755E" w:rsidRPr="00E80BAE" w:rsidRDefault="00F8755E" w:rsidP="00F8755E">
      <w:pPr>
        <w:pStyle w:val="ListBulleted"/>
      </w:pPr>
      <w:r>
        <w:t>Pre-ETS are</w:t>
      </w:r>
      <w:r w:rsidRPr="00B44A44">
        <w:t xml:space="preserve"> purchased from a bilateral contractor or, when a bilateral contractor is not available, by a Transition Educator or Non-Traditional Provider.</w:t>
      </w:r>
    </w:p>
    <w:p w14:paraId="27260282" w14:textId="1402B830" w:rsidR="00F8755E" w:rsidRDefault="00F8755E" w:rsidP="00F8755E">
      <w:pPr>
        <w:pStyle w:val="ListBulleted"/>
      </w:pPr>
      <w:r>
        <w:t>Pre-ETS must be provided a</w:t>
      </w:r>
      <w:r w:rsidR="004431A5">
        <w:t>s</w:t>
      </w:r>
      <w:r>
        <w:t xml:space="preserve"> prescribed on the approved </w:t>
      </w:r>
      <w:r w:rsidRPr="003171AF">
        <w:rPr>
          <w:i/>
          <w:iCs/>
        </w:rPr>
        <w:t xml:space="preserve">Pre-ETS Curriculum Checklist </w:t>
      </w:r>
      <w:r w:rsidR="004431A5">
        <w:rPr>
          <w:i/>
          <w:iCs/>
        </w:rPr>
        <w:t>(</w:t>
      </w:r>
      <w:r w:rsidR="004431A5" w:rsidRPr="003171AF">
        <w:rPr>
          <w:i/>
          <w:iCs/>
        </w:rPr>
        <w:t>VR1825</w:t>
      </w:r>
      <w:r w:rsidR="004431A5">
        <w:rPr>
          <w:i/>
          <w:iCs/>
        </w:rPr>
        <w:t>)</w:t>
      </w:r>
      <w:r w:rsidR="004431A5" w:rsidRPr="00E80BAE">
        <w:t xml:space="preserve"> </w:t>
      </w:r>
      <w:r>
        <w:t xml:space="preserve">and </w:t>
      </w:r>
      <w:r w:rsidRPr="00E80BAE">
        <w:t>cannot include the curriculum</w:t>
      </w:r>
      <w:r w:rsidR="004431A5">
        <w:t xml:space="preserve"> </w:t>
      </w:r>
      <w:r w:rsidRPr="00E80BAE">
        <w:t>outlined as a Vocational Adjustment Training.</w:t>
      </w:r>
    </w:p>
    <w:p w14:paraId="0B5F20A1" w14:textId="206C891E" w:rsidR="00F8755E" w:rsidRDefault="00F8755E" w:rsidP="009E4C3E">
      <w:pPr>
        <w:pStyle w:val="ListBulleted"/>
      </w:pPr>
      <w:r>
        <w:t>Pre-ETS allow n</w:t>
      </w:r>
      <w:r w:rsidRPr="00D622A8">
        <w:t xml:space="preserve">o more than 30 hours </w:t>
      </w:r>
      <w:r w:rsidR="009E4C3E">
        <w:t xml:space="preserve">each of </w:t>
      </w:r>
      <w:r>
        <w:t>the</w:t>
      </w:r>
      <w:r w:rsidR="004431A5">
        <w:t xml:space="preserve"> five required categories</w:t>
      </w:r>
      <w:r w:rsidR="004F4998" w:rsidRPr="004F4998">
        <w:t xml:space="preserve"> </w:t>
      </w:r>
      <w:r w:rsidR="004F4998" w:rsidRPr="00D622A8">
        <w:t xml:space="preserve">per </w:t>
      </w:r>
      <w:r w:rsidR="009E4C3E">
        <w:t>S</w:t>
      </w:r>
      <w:r w:rsidR="004F4998" w:rsidRPr="00D622A8">
        <w:t>tate fiscal year</w:t>
      </w:r>
      <w:r w:rsidR="00C10E29">
        <w:t xml:space="preserve"> </w:t>
      </w:r>
      <w:r>
        <w:t>when authorized with a service authorization</w:t>
      </w:r>
      <w:r w:rsidR="004431A5">
        <w:t xml:space="preserve"> (SA)</w:t>
      </w:r>
      <w:r>
        <w:t xml:space="preserve"> approved by the VR </w:t>
      </w:r>
      <w:r w:rsidR="004431A5">
        <w:t>C</w:t>
      </w:r>
      <w:r>
        <w:t>ounselor</w:t>
      </w:r>
      <w:r w:rsidR="004431A5">
        <w:t>.</w:t>
      </w:r>
    </w:p>
    <w:p w14:paraId="5B73778F" w14:textId="46B5BE16" w:rsidR="00F8755E" w:rsidRDefault="00F8755E" w:rsidP="00F8755E">
      <w:pPr>
        <w:pStyle w:val="ListBulleted"/>
      </w:pPr>
      <w:r>
        <w:t>Pre-ETS students</w:t>
      </w:r>
      <w:r w:rsidR="004431A5">
        <w:t>-</w:t>
      </w:r>
      <w:r>
        <w:t>to</w:t>
      </w:r>
      <w:r w:rsidR="004431A5">
        <w:t>-</w:t>
      </w:r>
      <w:r>
        <w:t>trainer ratio must not be greater than six students to one trainer.</w:t>
      </w:r>
    </w:p>
    <w:p w14:paraId="77BE9631" w14:textId="77777777" w:rsidR="00F8755E" w:rsidRDefault="00F8755E" w:rsidP="00F8755E">
      <w:pPr>
        <w:pStyle w:val="ListBulleted"/>
      </w:pPr>
      <w:r>
        <w:t>Pre-ETS can be provided remotely, in a setting where the trainer and student are in the same location, or a combination of both.</w:t>
      </w:r>
    </w:p>
    <w:p w14:paraId="6594CF8F" w14:textId="69DEA7A2" w:rsidR="00F8755E" w:rsidRDefault="00F8755E" w:rsidP="00F8755E">
      <w:pPr>
        <w:pStyle w:val="ListBulleted"/>
      </w:pPr>
      <w:r>
        <w:t>Pre-ETS can be purchase</w:t>
      </w:r>
      <w:r w:rsidR="004431A5">
        <w:t>d</w:t>
      </w:r>
      <w:r>
        <w:t xml:space="preserve"> for potential</w:t>
      </w:r>
      <w:r w:rsidR="004431A5">
        <w:t>ly</w:t>
      </w:r>
      <w:r>
        <w:t xml:space="preserve"> eligible </w:t>
      </w:r>
      <w:r w:rsidR="004431A5">
        <w:t xml:space="preserve">students </w:t>
      </w:r>
      <w:r>
        <w:t>and customer</w:t>
      </w:r>
      <w:r w:rsidR="004431A5">
        <w:t>s</w:t>
      </w:r>
      <w:r>
        <w:t xml:space="preserve"> in IPE.</w:t>
      </w:r>
    </w:p>
    <w:p w14:paraId="18EB813C" w14:textId="242762E7" w:rsidR="00F8755E" w:rsidRDefault="00F8755E" w:rsidP="00F8755E">
      <w:pPr>
        <w:pStyle w:val="ListBulleted"/>
        <w:rPr>
          <w:rStyle w:val="ui-provider"/>
        </w:rPr>
      </w:pPr>
      <w:r>
        <w:lastRenderedPageBreak/>
        <w:t xml:space="preserve">Pre-ETS provided to </w:t>
      </w:r>
      <w:r w:rsidRPr="0097794A">
        <w:t xml:space="preserve">students who have been determined to be eligible for </w:t>
      </w:r>
      <w:r w:rsidR="004431A5">
        <w:t>TWC-</w:t>
      </w:r>
      <w:r w:rsidRPr="0097794A">
        <w:t>VR services</w:t>
      </w:r>
      <w:r>
        <w:t xml:space="preserve"> can have concurrent items purchased to support the student’s engagement in </w:t>
      </w:r>
      <w:proofErr w:type="gramStart"/>
      <w:r>
        <w:t>Pre-ETS</w:t>
      </w:r>
      <w:proofErr w:type="gramEnd"/>
      <w:r>
        <w:t xml:space="preserve"> when approved by the VR </w:t>
      </w:r>
      <w:r w:rsidR="004431A5">
        <w:t xml:space="preserve">Counselor </w:t>
      </w:r>
      <w:r>
        <w:t xml:space="preserve">on an </w:t>
      </w:r>
      <w:r w:rsidRPr="0097794A">
        <w:t>item-by-item basis</w:t>
      </w:r>
      <w:r w:rsidR="004431A5">
        <w:t>; i</w:t>
      </w:r>
      <w:r>
        <w:t>tem</w:t>
      </w:r>
      <w:r w:rsidR="004431A5">
        <w:t>s</w:t>
      </w:r>
      <w:r>
        <w:t xml:space="preserve"> cannot be purchased for </w:t>
      </w:r>
      <w:r>
        <w:rPr>
          <w:rStyle w:val="ui-provider"/>
        </w:rPr>
        <w:t>potentially eligible students.</w:t>
      </w:r>
    </w:p>
    <w:p w14:paraId="1DC99DEF" w14:textId="41B6DD61" w:rsidR="00F8755E" w:rsidRDefault="00F8755E" w:rsidP="00F8755E">
      <w:pPr>
        <w:pStyle w:val="ListBulleted"/>
      </w:pPr>
      <w:r w:rsidRPr="00D523A4">
        <w:t xml:space="preserve">When supported by the </w:t>
      </w:r>
      <w:r>
        <w:t xml:space="preserve">IPE </w:t>
      </w:r>
      <w:r w:rsidRPr="00D523A4">
        <w:t xml:space="preserve">and authorized by the VR </w:t>
      </w:r>
      <w:r w:rsidR="004431A5">
        <w:t>C</w:t>
      </w:r>
      <w:r w:rsidR="004431A5" w:rsidRPr="00D523A4">
        <w:t>ounselor</w:t>
      </w:r>
      <w:r w:rsidRPr="00D523A4">
        <w:t xml:space="preserve">, items such as uniforms, transportation, and required tools may be purchased on an item-by-item basis for students who have been determined eligible for </w:t>
      </w:r>
      <w:r w:rsidR="004431A5">
        <w:t>TWC-</w:t>
      </w:r>
      <w:r w:rsidRPr="00D523A4">
        <w:t>VR services</w:t>
      </w:r>
      <w:r w:rsidR="004431A5">
        <w:t>; i</w:t>
      </w:r>
      <w:r>
        <w:t>tems cannot be purchased for potential</w:t>
      </w:r>
      <w:r w:rsidR="004431A5">
        <w:t>ly</w:t>
      </w:r>
      <w:r>
        <w:t xml:space="preserve"> eligible students.</w:t>
      </w:r>
    </w:p>
    <w:p w14:paraId="5ABCAA12" w14:textId="1F57A230" w:rsidR="00F8755E" w:rsidRDefault="00F8755E" w:rsidP="00F8755E">
      <w:pPr>
        <w:pStyle w:val="ListBulleted"/>
      </w:pPr>
      <w:r w:rsidRPr="0097794A">
        <w:t>TWC</w:t>
      </w:r>
      <w:r w:rsidR="004431A5">
        <w:t>-VR</w:t>
      </w:r>
      <w:r w:rsidRPr="0097794A">
        <w:t xml:space="preserve"> funds</w:t>
      </w:r>
      <w:r>
        <w:t xml:space="preserve"> cannot be used to </w:t>
      </w:r>
      <w:r w:rsidRPr="0097794A">
        <w:t>purchase</w:t>
      </w:r>
      <w:r>
        <w:t xml:space="preserve"> items</w:t>
      </w:r>
      <w:r w:rsidRPr="0097794A">
        <w:t xml:space="preserve"> as an incentive for individuals to attend </w:t>
      </w:r>
      <w:proofErr w:type="gramStart"/>
      <w:r w:rsidRPr="0097794A">
        <w:t>Pre-ETS</w:t>
      </w:r>
      <w:proofErr w:type="gramEnd"/>
      <w:r w:rsidRPr="0097794A">
        <w:t xml:space="preserve"> programs or trainings, such as tablets, gift cards, or other prizes, including food</w:t>
      </w:r>
      <w:r>
        <w:t>.</w:t>
      </w:r>
    </w:p>
    <w:p w14:paraId="12D562FD" w14:textId="7FF5DE01" w:rsidR="00F8755E" w:rsidRDefault="0006402B" w:rsidP="00F8755E">
      <w:pPr>
        <w:pStyle w:val="ListBulleted"/>
      </w:pPr>
      <w:r>
        <w:t xml:space="preserve">Per SFP Chapters 13 and 14, </w:t>
      </w:r>
      <w:r w:rsidR="00F8755E">
        <w:t>a contractor must have an Employment Services Contract.</w:t>
      </w:r>
    </w:p>
    <w:p w14:paraId="4B0AEF5C" w14:textId="77777777" w:rsidR="00F8755E" w:rsidRPr="00F8755E" w:rsidRDefault="00F8755E" w:rsidP="00F8755E">
      <w:pPr>
        <w:pStyle w:val="Heading3"/>
        <w:rPr>
          <w:lang w:val="en" w:eastAsia="ja-JP"/>
        </w:rPr>
      </w:pPr>
      <w:bookmarkStart w:id="0" w:name="_Hlk168933512"/>
      <w:r w:rsidRPr="00542631">
        <w:rPr>
          <w:lang w:val="en" w:eastAsia="ja-JP"/>
        </w:rPr>
        <w:t>Standards for Providers Manual (SFP)</w:t>
      </w:r>
    </w:p>
    <w:p w14:paraId="1F432D59" w14:textId="45831C6C" w:rsidR="00F8755E" w:rsidRPr="00E80BAE" w:rsidRDefault="00F8755E" w:rsidP="00F8755E">
      <w:pPr>
        <w:pStyle w:val="NormalWeb"/>
        <w:spacing w:before="0" w:after="240"/>
        <w:rPr>
          <w:rFonts w:ascii="Arial" w:hAnsi="Arial" w:cs="Arial"/>
          <w:szCs w:val="22"/>
          <w:lang w:val="en" w:eastAsia="ja-JP"/>
        </w:rPr>
      </w:pPr>
      <w:r w:rsidRPr="00E80BAE">
        <w:rPr>
          <w:rStyle w:val="ui-provider"/>
          <w:rFonts w:ascii="Arial" w:hAnsi="Arial" w:cs="Arial"/>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refer to SFP Chapter </w:t>
      </w:r>
      <w:r w:rsidR="0014568F">
        <w:rPr>
          <w:rStyle w:val="ui-provider"/>
          <w:rFonts w:ascii="Arial" w:hAnsi="Arial" w:cs="Arial"/>
        </w:rPr>
        <w:t>15</w:t>
      </w:r>
      <w:r w:rsidR="0055129C">
        <w:rPr>
          <w:rStyle w:val="ui-provider"/>
          <w:rFonts w:ascii="Arial" w:hAnsi="Arial" w:cs="Arial"/>
        </w:rPr>
        <w:t>: Pre-Employment Transition Services.</w:t>
      </w:r>
    </w:p>
    <w:p w14:paraId="6F2F73F7" w14:textId="52D95AC6" w:rsidR="00F8755E" w:rsidRDefault="00F8755E" w:rsidP="00F8755E">
      <w:pPr>
        <w:pStyle w:val="Heading3"/>
      </w:pPr>
      <w:bookmarkStart w:id="1" w:name="_Hlk167729625"/>
      <w:r w:rsidRPr="00542631">
        <w:t>Additional Policy Considerations</w:t>
      </w:r>
    </w:p>
    <w:p w14:paraId="0A80B342" w14:textId="77777777" w:rsidR="00F8755E" w:rsidRPr="00542631" w:rsidRDefault="00F8755E" w:rsidP="00F8755E">
      <w:pPr>
        <w:pStyle w:val="ListBulleted"/>
        <w:rPr>
          <w:b/>
          <w:bCs/>
        </w:rPr>
      </w:pPr>
      <w:r w:rsidRPr="00542631">
        <w:rPr>
          <w:u w:val="single"/>
        </w:rPr>
        <w:t>Comparable Services and Benefits</w:t>
      </w:r>
      <w:r w:rsidRPr="00542631">
        <w:t>:</w:t>
      </w:r>
      <w:r>
        <w:t xml:space="preserve"> </w:t>
      </w:r>
      <w:r w:rsidRPr="00430595">
        <w:t>Pre-ETS are exempt from the requirement to secure comparable services and benefits prior to TWC-VR expending funds.</w:t>
      </w:r>
    </w:p>
    <w:p w14:paraId="0669AD71" w14:textId="77777777" w:rsidR="00F8755E" w:rsidRDefault="00F8755E" w:rsidP="00F8755E">
      <w:pPr>
        <w:pStyle w:val="ListBulleted"/>
        <w:rPr>
          <w:rFonts w:cs="Calibri"/>
          <w:lang w:val="en" w:eastAsia="ja-JP"/>
        </w:rPr>
      </w:pPr>
      <w:r w:rsidRPr="00542631">
        <w:rPr>
          <w:rFonts w:cs="Calibri"/>
          <w:u w:val="single"/>
          <w:lang w:val="en" w:eastAsia="ja-JP"/>
        </w:rPr>
        <w:t>Customer Participation in the Cost of Services</w:t>
      </w:r>
      <w:r w:rsidRPr="00542631">
        <w:rPr>
          <w:rFonts w:cs="Calibri"/>
          <w:lang w:val="en" w:eastAsia="ja-JP"/>
        </w:rPr>
        <w:t xml:space="preserve">: </w:t>
      </w:r>
      <w:r w:rsidRPr="00430595">
        <w:rPr>
          <w:rFonts w:cs="Calibri"/>
          <w:lang w:val="en" w:eastAsia="ja-JP"/>
        </w:rPr>
        <w:t xml:space="preserve">Students with disabilities who are in receipt of </w:t>
      </w:r>
      <w:proofErr w:type="gramStart"/>
      <w:r w:rsidRPr="00430595">
        <w:rPr>
          <w:rFonts w:cs="Calibri"/>
          <w:lang w:val="en" w:eastAsia="ja-JP"/>
        </w:rPr>
        <w:t>Pre-ETS</w:t>
      </w:r>
      <w:proofErr w:type="gramEnd"/>
      <w:r w:rsidRPr="00430595">
        <w:rPr>
          <w:rFonts w:cs="Calibri"/>
          <w:lang w:val="en" w:eastAsia="ja-JP"/>
        </w:rPr>
        <w:t>, are exempt from applying Basic Living Requirements (BLR) and, therefore, the customer is not required to participate in the cost of services.</w:t>
      </w:r>
      <w:r>
        <w:rPr>
          <w:rFonts w:cs="Calibri"/>
          <w:lang w:val="en" w:eastAsia="ja-JP"/>
        </w:rPr>
        <w:t xml:space="preserve"> </w:t>
      </w:r>
    </w:p>
    <w:p w14:paraId="1F2F7FF3" w14:textId="77777777" w:rsidR="00F8755E" w:rsidRPr="00430595" w:rsidRDefault="00F8755E" w:rsidP="003171AF">
      <w:pPr>
        <w:pStyle w:val="ListBulleted"/>
        <w:numPr>
          <w:ilvl w:val="0"/>
          <w:numId w:val="0"/>
        </w:numPr>
        <w:ind w:left="720"/>
        <w:rPr>
          <w:rFonts w:cs="Calibri"/>
          <w:lang w:val="en" w:eastAsia="ja-JP"/>
        </w:rPr>
      </w:pPr>
      <w:r w:rsidRPr="00430595">
        <w:rPr>
          <w:rFonts w:cs="Calibri"/>
          <w:lang w:val="en" w:eastAsia="ja-JP"/>
        </w:rPr>
        <w:t>Eligible TWC-VR customers who require other VR services are not exempt, and therefore, if their net income or liquid assets exceed the Basic Living Requirements (BLR), the customer must participate in the cost of services unless an exception is granted.</w:t>
      </w:r>
    </w:p>
    <w:p w14:paraId="7C4C5415" w14:textId="77777777" w:rsidR="00F8755E" w:rsidRPr="00FE1D6D" w:rsidRDefault="00F8755E" w:rsidP="00F8755E">
      <w:pPr>
        <w:pStyle w:val="ListBulleted"/>
        <w:rPr>
          <w:rFonts w:cs="Calibri"/>
          <w:lang w:val="en" w:eastAsia="ja-JP"/>
        </w:rPr>
      </w:pPr>
      <w:r w:rsidRPr="00FE1D6D">
        <w:rPr>
          <w:rFonts w:cs="Calibri"/>
          <w:u w:val="single"/>
          <w:lang w:val="en" w:eastAsia="ja-JP"/>
        </w:rPr>
        <w:t>Recipients of Social Security Disability Benefits</w:t>
      </w:r>
      <w:r w:rsidRPr="00FE1D6D">
        <w:rPr>
          <w:rFonts w:cs="Calibri"/>
          <w:lang w:val="en" w:eastAsia="ja-JP"/>
        </w:rPr>
        <w:t xml:space="preserve">: </w:t>
      </w:r>
      <w:r w:rsidRPr="00430595">
        <w:rPr>
          <w:rFonts w:cs="Calibri"/>
          <w:lang w:val="en" w:eastAsia="ja-JP"/>
        </w:rPr>
        <w:t>Recipients of Supplemental Security Income (SSI) or Social Security Disability Insurance (SSDI), due to the customer's disability, are exempt from the requirement to participate in the cost of TWC-VR services regardless of income.</w:t>
      </w:r>
    </w:p>
    <w:p w14:paraId="17429C6C" w14:textId="77777777" w:rsidR="00F8755E" w:rsidRPr="00001C68" w:rsidRDefault="00F8755E" w:rsidP="00F8755E">
      <w:pPr>
        <w:pStyle w:val="ListBulleted"/>
        <w:rPr>
          <w:rFonts w:cs="Calibri"/>
          <w:lang w:val="en" w:eastAsia="ja-JP"/>
        </w:rPr>
      </w:pPr>
      <w:bookmarkStart w:id="2" w:name="_Hlk162890515"/>
      <w:r w:rsidRPr="00FE1D6D">
        <w:rPr>
          <w:rFonts w:cs="Calibri"/>
          <w:u w:val="single"/>
          <w:lang w:val="en" w:eastAsia="ja-JP"/>
        </w:rPr>
        <w:t>Exceptions to Policy</w:t>
      </w:r>
      <w:r w:rsidRPr="00FE1D6D">
        <w:rPr>
          <w:rFonts w:cs="Calibri"/>
          <w:lang w:val="en" w:eastAsia="ja-JP"/>
        </w:rPr>
        <w:t xml:space="preserve">: </w:t>
      </w:r>
      <w:r w:rsidRPr="00430595">
        <w:rPr>
          <w:rFonts w:cs="Calibri"/>
          <w:lang w:val="en" w:eastAsia="ja-JP"/>
        </w:rPr>
        <w:t xml:space="preserve">When necessary to meet the VR needs of a customer, TWC-VR staff members may request exceptions to policies and procedures through their chain of management up to the Deputy Division Director of Field Services Delivery, or designee. </w:t>
      </w:r>
      <w:r w:rsidRPr="00430595">
        <w:rPr>
          <w:rFonts w:cs="Calibri"/>
          <w:lang w:val="en" w:eastAsia="ja-JP"/>
        </w:rPr>
        <w:lastRenderedPageBreak/>
        <w:t>However, exceptions to policies and procedures based on Federal and State laws, statutes, and rules or regulations are not allowable</w:t>
      </w:r>
      <w:bookmarkEnd w:id="1"/>
      <w:bookmarkEnd w:id="2"/>
      <w:r>
        <w:rPr>
          <w:rFonts w:cs="Calibri"/>
          <w:lang w:val="en" w:eastAsia="ja-JP"/>
        </w:rPr>
        <w:t xml:space="preserve">. </w:t>
      </w:r>
    </w:p>
    <w:bookmarkEnd w:id="0"/>
    <w:p w14:paraId="11E48025" w14:textId="511E42FF" w:rsidR="00934027" w:rsidRDefault="00145D80" w:rsidP="00CF06B7">
      <w:pPr>
        <w:pStyle w:val="Heading2"/>
      </w:pPr>
      <w:r>
        <w:t>PROCEDURES</w:t>
      </w:r>
    </w:p>
    <w:p w14:paraId="3BF5E84A" w14:textId="023F1060" w:rsidR="000538A8" w:rsidRDefault="00F8755E" w:rsidP="00896AC1">
      <w:pPr>
        <w:pStyle w:val="Heading3"/>
        <w:numPr>
          <w:ilvl w:val="0"/>
          <w:numId w:val="37"/>
        </w:numPr>
      </w:pPr>
      <w:r w:rsidRPr="002571C6">
        <w:t xml:space="preserve">Determining the Need for </w:t>
      </w:r>
      <w:r>
        <w:t>Pre-ETS</w:t>
      </w:r>
    </w:p>
    <w:p w14:paraId="2B5CDB3E" w14:textId="3FD8E25C" w:rsidR="00F8755E" w:rsidRPr="002571C6" w:rsidRDefault="0006402B" w:rsidP="00F8755E">
      <w:pPr>
        <w:autoSpaceDE w:val="0"/>
        <w:autoSpaceDN w:val="0"/>
        <w:adjustRightInd w:val="0"/>
      </w:pPr>
      <w:r>
        <w:t xml:space="preserve">The </w:t>
      </w:r>
      <w:r w:rsidR="00F8755E">
        <w:t>VR Counselor</w:t>
      </w:r>
      <w:r w:rsidR="00C10E29">
        <w:t xml:space="preserve"> must</w:t>
      </w:r>
      <w:r w:rsidR="00F8755E">
        <w:t xml:space="preserve"> </w:t>
      </w:r>
      <w:r>
        <w:t>consider</w:t>
      </w:r>
      <w:r w:rsidR="00F8755E">
        <w:t xml:space="preserve"> a student’s</w:t>
      </w:r>
      <w:r w:rsidR="00F8755E" w:rsidRPr="00E80BAE">
        <w:t xml:space="preserve"> cognitive ability</w:t>
      </w:r>
      <w:r w:rsidR="00F8755E">
        <w:t>,</w:t>
      </w:r>
      <w:r w:rsidR="00F8755E" w:rsidRPr="00E80BAE">
        <w:t xml:space="preserve"> reading level</w:t>
      </w:r>
      <w:r>
        <w:t>,</w:t>
      </w:r>
      <w:r w:rsidR="00F8755E">
        <w:t xml:space="preserve"> and specific disability when determining </w:t>
      </w:r>
      <w:r w:rsidR="00C10E29">
        <w:t xml:space="preserve">which </w:t>
      </w:r>
      <w:proofErr w:type="gramStart"/>
      <w:r w:rsidR="00F8755E">
        <w:t>Pre-ETS</w:t>
      </w:r>
      <w:proofErr w:type="gramEnd"/>
      <w:r w:rsidR="00F8755E" w:rsidRPr="002571C6">
        <w:t xml:space="preserve"> are </w:t>
      </w:r>
      <w:r w:rsidR="00F8755E">
        <w:t>necessary, when—</w:t>
      </w:r>
    </w:p>
    <w:p w14:paraId="2453A9C6" w14:textId="16EBB7D4" w:rsidR="00F8755E" w:rsidRPr="008307C2" w:rsidRDefault="00C10E29" w:rsidP="00C10E29">
      <w:pPr>
        <w:pStyle w:val="ListBulleted"/>
      </w:pPr>
      <w:r w:rsidRPr="00C10E29">
        <w:t>The c</w:t>
      </w:r>
      <w:r w:rsidR="00F8755E" w:rsidRPr="00C10E29">
        <w:t xml:space="preserve">ustomer needs more training and support than provided by VR Counselor or school; </w:t>
      </w:r>
    </w:p>
    <w:p w14:paraId="7B6F4A76" w14:textId="6130816A" w:rsidR="00F8755E" w:rsidRPr="008307C2" w:rsidRDefault="00C10E29" w:rsidP="00C10E29">
      <w:pPr>
        <w:pStyle w:val="ListBulleted"/>
      </w:pPr>
      <w:r w:rsidRPr="008307C2">
        <w:t>The c</w:t>
      </w:r>
      <w:r w:rsidR="00F8755E" w:rsidRPr="008307C2">
        <w:t xml:space="preserve">ustomer needs to address goals related to the five </w:t>
      </w:r>
      <w:proofErr w:type="gramStart"/>
      <w:r w:rsidR="00F8755E" w:rsidRPr="008307C2">
        <w:t>Pre-ETS</w:t>
      </w:r>
      <w:proofErr w:type="gramEnd"/>
      <w:r w:rsidR="00F8755E" w:rsidRPr="008307C2">
        <w:t xml:space="preserve"> categories.</w:t>
      </w:r>
    </w:p>
    <w:p w14:paraId="4B037A12" w14:textId="77777777" w:rsidR="00F8755E" w:rsidRPr="00F8755E" w:rsidRDefault="00F8755E" w:rsidP="00F8755E">
      <w:pPr>
        <w:pStyle w:val="Heading3"/>
      </w:pPr>
      <w:bookmarkStart w:id="3" w:name="_Toc131579111"/>
      <w:bookmarkStart w:id="4" w:name="_Toc155865639"/>
      <w:r>
        <w:t xml:space="preserve">Pre-ETS </w:t>
      </w:r>
      <w:r w:rsidRPr="008E13C7">
        <w:t>Referral</w:t>
      </w:r>
      <w:bookmarkEnd w:id="3"/>
      <w:bookmarkEnd w:id="4"/>
      <w:r>
        <w:t xml:space="preserve"> and Service Provision</w:t>
      </w:r>
      <w:bookmarkStart w:id="5" w:name="_Hlk168950273"/>
    </w:p>
    <w:p w14:paraId="77887964" w14:textId="06935268" w:rsidR="00F8755E" w:rsidRDefault="00F8755E" w:rsidP="008307C2">
      <w:r w:rsidRPr="009E231B">
        <w:t xml:space="preserve">When </w:t>
      </w:r>
      <w:r>
        <w:t xml:space="preserve">the VR </w:t>
      </w:r>
      <w:r w:rsidR="0006402B">
        <w:t xml:space="preserve">Counselor </w:t>
      </w:r>
      <w:r>
        <w:t xml:space="preserve">and customer agree to the receipt of </w:t>
      </w:r>
      <w:proofErr w:type="gramStart"/>
      <w:r>
        <w:t>Pre-ETS</w:t>
      </w:r>
      <w:proofErr w:type="gramEnd"/>
      <w:r>
        <w:t>, it must be included in the IPE</w:t>
      </w:r>
      <w:r w:rsidRPr="009E231B">
        <w:t xml:space="preserve">, </w:t>
      </w:r>
      <w:r w:rsidR="0006402B">
        <w:t>Trial Work Experience (</w:t>
      </w:r>
      <w:r w:rsidRPr="009E231B">
        <w:t>TWE</w:t>
      </w:r>
      <w:r w:rsidR="0006402B">
        <w:t>)</w:t>
      </w:r>
      <w:r w:rsidRPr="009E231B">
        <w:t xml:space="preserve"> plan, IPE amendment</w:t>
      </w:r>
      <w:r>
        <w:t>,</w:t>
      </w:r>
      <w:r w:rsidRPr="009E231B">
        <w:t xml:space="preserve"> </w:t>
      </w:r>
      <w:r>
        <w:t xml:space="preserve">or a </w:t>
      </w:r>
      <w:r w:rsidRPr="008307C2">
        <w:t>Service Justification</w:t>
      </w:r>
      <w:r>
        <w:t xml:space="preserve"> for potentially eligible students with disabilities. </w:t>
      </w:r>
    </w:p>
    <w:p w14:paraId="49A5DA27" w14:textId="6013E803" w:rsidR="00F8755E" w:rsidRDefault="00F8755E" w:rsidP="00F8755E">
      <w:pPr>
        <w:spacing w:before="0" w:after="160" w:line="259" w:lineRule="auto"/>
      </w:pPr>
      <w:r>
        <w:t>The VR Counselor</w:t>
      </w:r>
      <w:r w:rsidR="0006402B">
        <w:t xml:space="preserve"> must</w:t>
      </w:r>
      <w:r>
        <w:t>—</w:t>
      </w:r>
      <w:r w:rsidRPr="009E231B">
        <w:t xml:space="preserve"> </w:t>
      </w:r>
      <w:bookmarkStart w:id="6" w:name="_Hlk168467138"/>
      <w:bookmarkEnd w:id="5"/>
    </w:p>
    <w:p w14:paraId="7AAEE880" w14:textId="410FAC2B" w:rsidR="00F8755E" w:rsidRPr="00DB6946" w:rsidRDefault="00F8755E" w:rsidP="00F8755E">
      <w:pPr>
        <w:pStyle w:val="ListBulleted"/>
      </w:pPr>
      <w:bookmarkStart w:id="7" w:name="_Hlk168950305"/>
      <w:r w:rsidRPr="00DD1D3E">
        <w:t>C</w:t>
      </w:r>
      <w:r w:rsidRPr="004A15EF">
        <w:t xml:space="preserve">omplete </w:t>
      </w:r>
      <w:r>
        <w:t xml:space="preserve">the </w:t>
      </w:r>
      <w:r w:rsidRPr="003171AF">
        <w:rPr>
          <w:i/>
          <w:iCs/>
        </w:rPr>
        <w:t>Referral for Contracted Pre-ETS Services</w:t>
      </w:r>
      <w:r w:rsidR="0006402B" w:rsidRPr="003171AF">
        <w:rPr>
          <w:i/>
          <w:iCs/>
        </w:rPr>
        <w:t xml:space="preserve"> (VR1824)</w:t>
      </w:r>
      <w:r>
        <w:t xml:space="preserve">; </w:t>
      </w:r>
    </w:p>
    <w:p w14:paraId="231A6AA4" w14:textId="045BA14E" w:rsidR="00F8755E" w:rsidRDefault="00F8755E" w:rsidP="00F8755E">
      <w:pPr>
        <w:pStyle w:val="ListBulleted"/>
      </w:pPr>
      <w:r>
        <w:t>P</w:t>
      </w:r>
      <w:r w:rsidRPr="001F0B9F">
        <w:t>rovide documentation</w:t>
      </w:r>
      <w:r>
        <w:t xml:space="preserve"> (only when relevant)</w:t>
      </w:r>
      <w:r w:rsidRPr="001F0B9F">
        <w:t xml:space="preserve">, such as case notes; psychological, vocational, or medical evaluations to prepare the </w:t>
      </w:r>
      <w:r>
        <w:t xml:space="preserve">trainer </w:t>
      </w:r>
      <w:r w:rsidRPr="001F0B9F">
        <w:t>to work with the customer</w:t>
      </w:r>
      <w:r w:rsidR="0006402B">
        <w:t>;</w:t>
      </w:r>
    </w:p>
    <w:bookmarkEnd w:id="7"/>
    <w:p w14:paraId="4779DE09" w14:textId="4A47E455" w:rsidR="00F8755E" w:rsidRDefault="00F8755E" w:rsidP="00F8755E">
      <w:pPr>
        <w:pStyle w:val="ListBulleted"/>
      </w:pPr>
      <w:r>
        <w:t xml:space="preserve">Determine whether the </w:t>
      </w:r>
      <w:proofErr w:type="gramStart"/>
      <w:r>
        <w:t>Pre-ETS</w:t>
      </w:r>
      <w:proofErr w:type="gramEnd"/>
      <w:r>
        <w:t xml:space="preserve"> will be provided in-person, remotely</w:t>
      </w:r>
      <w:r w:rsidR="0006402B">
        <w:t>,</w:t>
      </w:r>
      <w:r>
        <w:t xml:space="preserve"> or a combination of both.</w:t>
      </w:r>
      <w:bookmarkEnd w:id="6"/>
    </w:p>
    <w:p w14:paraId="2947CB8C" w14:textId="7B9CFEEA" w:rsidR="00F8755E" w:rsidRPr="009E231B" w:rsidRDefault="00F8755E" w:rsidP="00F8755E">
      <w:pPr>
        <w:pStyle w:val="ListBulleted"/>
      </w:pPr>
      <w:r>
        <w:t>E</w:t>
      </w:r>
      <w:r w:rsidRPr="009E231B">
        <w:t xml:space="preserve">nsure </w:t>
      </w:r>
      <w:r>
        <w:t>TWC-</w:t>
      </w:r>
      <w:r w:rsidRPr="009E231B">
        <w:t xml:space="preserve">VR staff send the </w:t>
      </w:r>
      <w:r>
        <w:t xml:space="preserve">SA and </w:t>
      </w:r>
      <w:r w:rsidR="00C10E29">
        <w:t xml:space="preserve">the </w:t>
      </w:r>
      <w:r w:rsidRPr="00EB23F7">
        <w:rPr>
          <w:i/>
          <w:iCs/>
        </w:rPr>
        <w:t>VR</w:t>
      </w:r>
      <w:r>
        <w:rPr>
          <w:i/>
          <w:iCs/>
        </w:rPr>
        <w:t>1824</w:t>
      </w:r>
      <w:r w:rsidRPr="009E231B">
        <w:t>;</w:t>
      </w:r>
    </w:p>
    <w:p w14:paraId="42589040" w14:textId="4B000474" w:rsidR="00F8755E" w:rsidRPr="009E231B" w:rsidRDefault="00F8755E" w:rsidP="00F8755E">
      <w:pPr>
        <w:pStyle w:val="ListBulleted"/>
      </w:pPr>
      <w:r>
        <w:t>M</w:t>
      </w:r>
      <w:r w:rsidRPr="009E231B">
        <w:t>onitor the customer's progress;</w:t>
      </w:r>
    </w:p>
    <w:p w14:paraId="5AA2D1A6" w14:textId="5AB7B154" w:rsidR="00F8755E" w:rsidRPr="009E231B" w:rsidRDefault="00F8755E" w:rsidP="00F8755E">
      <w:pPr>
        <w:pStyle w:val="ListBulleted"/>
      </w:pPr>
      <w:r>
        <w:t>P</w:t>
      </w:r>
      <w:r w:rsidRPr="009E231B">
        <w:t>rovide any needed instruction or intervention necessary to foster the customer's success;</w:t>
      </w:r>
    </w:p>
    <w:p w14:paraId="3351A473" w14:textId="14AA1F0A" w:rsidR="00F8755E" w:rsidRPr="009E231B" w:rsidRDefault="00F8755E" w:rsidP="00F8755E">
      <w:pPr>
        <w:pStyle w:val="ListBulleted"/>
      </w:pPr>
      <w:bookmarkStart w:id="8" w:name="_Hlk168951623"/>
      <w:r>
        <w:t>R</w:t>
      </w:r>
      <w:r w:rsidRPr="009E231B">
        <w:t xml:space="preserve">eview and approve </w:t>
      </w:r>
      <w:r w:rsidR="00C10E29">
        <w:t xml:space="preserve">the </w:t>
      </w:r>
      <w:r w:rsidRPr="003171AF">
        <w:rPr>
          <w:i/>
          <w:iCs/>
        </w:rPr>
        <w:t>Pre-ETS Progress Report (VR1823)</w:t>
      </w:r>
      <w:r w:rsidRPr="009E231B">
        <w:t>,</w:t>
      </w:r>
      <w:r>
        <w:t xml:space="preserve"> completed by the contractor,</w:t>
      </w:r>
      <w:r w:rsidRPr="009E231B">
        <w:t xml:space="preserve"> ensuring that all outcomes required for payment are achieved and that the staff qualifications were held by the individual providing the service to the customer; and</w:t>
      </w:r>
    </w:p>
    <w:p w14:paraId="5E1E8CC4" w14:textId="287E6727" w:rsidR="00F8755E" w:rsidRDefault="00F8755E" w:rsidP="00F8755E">
      <w:pPr>
        <w:pStyle w:val="ListBulleted"/>
      </w:pPr>
      <w:r>
        <w:t>E</w:t>
      </w:r>
      <w:r w:rsidRPr="009E231B">
        <w:t>nsure that the invoice is paid.</w:t>
      </w:r>
    </w:p>
    <w:bookmarkEnd w:id="8"/>
    <w:p w14:paraId="550B35DC" w14:textId="426A44CA" w:rsidR="00F8755E" w:rsidRPr="000B5BE6" w:rsidRDefault="00F8755E" w:rsidP="00F8755E">
      <w:r>
        <w:t>T</w:t>
      </w:r>
      <w:r w:rsidRPr="000B5BE6">
        <w:t xml:space="preserve">he </w:t>
      </w:r>
      <w:r>
        <w:t>contractor</w:t>
      </w:r>
      <w:r w:rsidR="0006402B">
        <w:t xml:space="preserve"> must</w:t>
      </w:r>
      <w:r>
        <w:t>—</w:t>
      </w:r>
    </w:p>
    <w:p w14:paraId="2A1E2006" w14:textId="16F0A773" w:rsidR="00F8755E" w:rsidRDefault="00F8755E" w:rsidP="00F8755E">
      <w:pPr>
        <w:pStyle w:val="ListBulleted"/>
      </w:pPr>
      <w:r>
        <w:t xml:space="preserve">Complete </w:t>
      </w:r>
      <w:r w:rsidR="00C10E29">
        <w:t xml:space="preserve">the </w:t>
      </w:r>
      <w:r w:rsidRPr="003171AF">
        <w:rPr>
          <w:i/>
          <w:iCs/>
        </w:rPr>
        <w:t>VR1823</w:t>
      </w:r>
      <w:r>
        <w:t xml:space="preserve">, </w:t>
      </w:r>
      <w:r w:rsidR="0006402B">
        <w:t xml:space="preserve">which </w:t>
      </w:r>
      <w:r>
        <w:t>must include evidence that</w:t>
      </w:r>
      <w:r w:rsidR="0006402B">
        <w:t>—</w:t>
      </w:r>
    </w:p>
    <w:p w14:paraId="60BF5D9F" w14:textId="1777D53B" w:rsidR="00F8755E" w:rsidRDefault="0006402B" w:rsidP="00F8755E">
      <w:pPr>
        <w:pStyle w:val="ListBulleted"/>
        <w:numPr>
          <w:ilvl w:val="1"/>
          <w:numId w:val="35"/>
        </w:numPr>
      </w:pPr>
      <w:r>
        <w:t>T</w:t>
      </w:r>
      <w:r w:rsidR="00F8755E">
        <w:t>he training was provided without exceeding the ratio of one trainer to six students;</w:t>
      </w:r>
    </w:p>
    <w:p w14:paraId="287775A1" w14:textId="373C06FC" w:rsidR="00F8755E" w:rsidRDefault="0006402B" w:rsidP="00F8755E">
      <w:pPr>
        <w:pStyle w:val="ListBulleted"/>
        <w:numPr>
          <w:ilvl w:val="1"/>
          <w:numId w:val="35"/>
        </w:numPr>
      </w:pPr>
      <w:r>
        <w:lastRenderedPageBreak/>
        <w:t>T</w:t>
      </w:r>
      <w:r w:rsidR="00F8755E">
        <w:t xml:space="preserve">he training was provided in the environment(s) approved by the VR </w:t>
      </w:r>
      <w:r>
        <w:t xml:space="preserve">Counselor </w:t>
      </w:r>
      <w:r w:rsidR="00F8755E">
        <w:t>on</w:t>
      </w:r>
      <w:r w:rsidR="00C10E29">
        <w:t xml:space="preserve"> the</w:t>
      </w:r>
      <w:r w:rsidR="00F8755E">
        <w:t xml:space="preserve"> </w:t>
      </w:r>
      <w:r w:rsidR="00F8755E" w:rsidRPr="003171AF">
        <w:rPr>
          <w:i/>
          <w:iCs/>
        </w:rPr>
        <w:t>VR1824</w:t>
      </w:r>
      <w:r w:rsidR="00F8755E">
        <w:t>;</w:t>
      </w:r>
    </w:p>
    <w:p w14:paraId="09E8654D" w14:textId="0A9C569A" w:rsidR="00F8755E" w:rsidRDefault="0006402B" w:rsidP="00F8755E">
      <w:pPr>
        <w:pStyle w:val="ListBulleted"/>
        <w:numPr>
          <w:ilvl w:val="1"/>
          <w:numId w:val="35"/>
        </w:numPr>
      </w:pPr>
      <w:r>
        <w:t>T</w:t>
      </w:r>
      <w:r w:rsidR="00F8755E">
        <w:t xml:space="preserve">he training was provided without exceeding the approved number of hours on the </w:t>
      </w:r>
      <w:r>
        <w:t>SA</w:t>
      </w:r>
      <w:r w:rsidR="00F8755E">
        <w:t>;</w:t>
      </w:r>
    </w:p>
    <w:p w14:paraId="308D85E9" w14:textId="6C71CEA8" w:rsidR="00F8755E" w:rsidRDefault="0006402B" w:rsidP="003171AF">
      <w:pPr>
        <w:pStyle w:val="ListBulleted"/>
        <w:numPr>
          <w:ilvl w:val="1"/>
          <w:numId w:val="35"/>
        </w:numPr>
      </w:pPr>
      <w:r>
        <w:t>T</w:t>
      </w:r>
      <w:r w:rsidR="00F8755E">
        <w:t xml:space="preserve">he student's training included only </w:t>
      </w:r>
      <w:proofErr w:type="gramStart"/>
      <w:r w:rsidR="00F8755E">
        <w:t>Pre-ETS</w:t>
      </w:r>
      <w:proofErr w:type="gramEnd"/>
      <w:r w:rsidR="00F8755E">
        <w:t xml:space="preserve"> categories included in the contract</w:t>
      </w:r>
      <w:r>
        <w:t>;</w:t>
      </w:r>
    </w:p>
    <w:p w14:paraId="405709CC" w14:textId="0A3DFA3D" w:rsidR="00F8755E" w:rsidRDefault="0006402B" w:rsidP="00F8755E">
      <w:pPr>
        <w:pStyle w:val="ListBulleted"/>
      </w:pPr>
      <w:r>
        <w:t xml:space="preserve">Be </w:t>
      </w:r>
      <w:r w:rsidR="00F8755E">
        <w:t xml:space="preserve">paid only for time attended by students. For </w:t>
      </w:r>
      <w:r>
        <w:t>under</w:t>
      </w:r>
      <w:r w:rsidR="00F8755E">
        <w:t xml:space="preserve"> one hour, payment is rounded to the nearest quarter</w:t>
      </w:r>
      <w:r>
        <w:t>-</w:t>
      </w:r>
      <w:r w:rsidR="00F8755E">
        <w:t>hour and prorated accordingly</w:t>
      </w:r>
      <w:r>
        <w:t>; and</w:t>
      </w:r>
    </w:p>
    <w:p w14:paraId="661F9BE4" w14:textId="05A1514E" w:rsidR="00F8755E" w:rsidRDefault="00F8755E" w:rsidP="00F8755E">
      <w:pPr>
        <w:pStyle w:val="ListBulleted"/>
      </w:pPr>
      <w:r>
        <w:t xml:space="preserve">Submit </w:t>
      </w:r>
      <w:r w:rsidR="0006402B">
        <w:t xml:space="preserve">a </w:t>
      </w:r>
      <w:r w:rsidRPr="003171AF">
        <w:rPr>
          <w:i/>
          <w:iCs/>
        </w:rPr>
        <w:t>VR1823</w:t>
      </w:r>
      <w:r>
        <w:t xml:space="preserve"> for each student</w:t>
      </w:r>
      <w:r w:rsidRPr="00A02251">
        <w:t xml:space="preserve"> </w:t>
      </w:r>
      <w:r>
        <w:t>w</w:t>
      </w:r>
      <w:r w:rsidRPr="00A02251">
        <w:t>hen multiple students attend</w:t>
      </w:r>
      <w:r>
        <w:t>.</w:t>
      </w:r>
    </w:p>
    <w:p w14:paraId="05628818" w14:textId="1EED3BF8" w:rsidR="00F8755E" w:rsidRPr="00F8755E" w:rsidRDefault="00F8755E" w:rsidP="00F8755E">
      <w:pPr>
        <w:pStyle w:val="Heading3"/>
      </w:pPr>
      <w:r w:rsidRPr="00A81AC3">
        <w:t>Customer</w:t>
      </w:r>
      <w:r w:rsidR="0006402B">
        <w:t>'</w:t>
      </w:r>
      <w:r w:rsidRPr="00A81AC3">
        <w:t>s Satisfaction</w:t>
      </w:r>
    </w:p>
    <w:p w14:paraId="65AC704A" w14:textId="47FD8AC1" w:rsidR="00F8755E" w:rsidRPr="00AB7AA0" w:rsidRDefault="00F8755E" w:rsidP="008307C2">
      <w:r w:rsidRPr="00FA58D9">
        <w:t>The customer's satisfaction and service delivery</w:t>
      </w:r>
      <w:r>
        <w:t xml:space="preserve"> </w:t>
      </w:r>
      <w:proofErr w:type="gramStart"/>
      <w:r>
        <w:t>is</w:t>
      </w:r>
      <w:proofErr w:type="gramEnd"/>
      <w:r w:rsidRPr="00FA58D9">
        <w:t xml:space="preserve"> verified by </w:t>
      </w:r>
      <w:r>
        <w:t xml:space="preserve">the </w:t>
      </w:r>
      <w:r w:rsidRPr="00FA58D9">
        <w:t xml:space="preserve">customer's signature on the </w:t>
      </w:r>
      <w:r w:rsidRPr="003171AF">
        <w:rPr>
          <w:i/>
          <w:iCs/>
        </w:rPr>
        <w:t>VR1823</w:t>
      </w:r>
      <w:r>
        <w:t xml:space="preserve"> </w:t>
      </w:r>
      <w:r w:rsidRPr="00FA58D9">
        <w:t xml:space="preserve">or by </w:t>
      </w:r>
      <w:r w:rsidR="00C10E29">
        <w:t xml:space="preserve">a </w:t>
      </w:r>
      <w:r>
        <w:t>TWC-</w:t>
      </w:r>
      <w:r w:rsidRPr="00FA58D9">
        <w:t>VR staff member’s contact with the customer</w:t>
      </w:r>
      <w:r>
        <w:t>, documented in a case note</w:t>
      </w:r>
      <w:r w:rsidRPr="00FA58D9">
        <w:t xml:space="preserve">. </w:t>
      </w:r>
    </w:p>
    <w:p w14:paraId="69D6D223" w14:textId="77777777" w:rsidR="00F8755E" w:rsidRPr="00F8755E" w:rsidRDefault="00F8755E" w:rsidP="00F8755E">
      <w:pPr>
        <w:pStyle w:val="Heading3"/>
      </w:pPr>
      <w:r>
        <w:t xml:space="preserve">Pre-ETS </w:t>
      </w:r>
      <w:r w:rsidRPr="00AB7AA0">
        <w:t>Payment</w:t>
      </w:r>
    </w:p>
    <w:p w14:paraId="235CA764" w14:textId="061862C3" w:rsidR="00F8755E" w:rsidRPr="00D76BA4" w:rsidRDefault="00F8755E" w:rsidP="00CA4C54">
      <w:r w:rsidRPr="00D76BA4">
        <w:t xml:space="preserve">Payment for </w:t>
      </w:r>
      <w:proofErr w:type="gramStart"/>
      <w:r>
        <w:t>Pre-ETS</w:t>
      </w:r>
      <w:proofErr w:type="gramEnd"/>
      <w:r w:rsidRPr="00D76BA4">
        <w:t xml:space="preserve"> is made </w:t>
      </w:r>
      <w:r>
        <w:t xml:space="preserve">to the contractor </w:t>
      </w:r>
      <w:r w:rsidRPr="00D76BA4">
        <w:t xml:space="preserve">when the VR </w:t>
      </w:r>
      <w:r w:rsidR="002D3E72">
        <w:t>C</w:t>
      </w:r>
      <w:r w:rsidR="002D3E72" w:rsidRPr="00D76BA4">
        <w:t xml:space="preserve">ounselor </w:t>
      </w:r>
      <w:r w:rsidRPr="00D76BA4">
        <w:t>approves a complete, accurate, signed, and dated</w:t>
      </w:r>
      <w:r w:rsidR="002D3E72">
        <w:t>—</w:t>
      </w:r>
    </w:p>
    <w:p w14:paraId="348E7F5F" w14:textId="77777777" w:rsidR="00F8755E" w:rsidRDefault="00F8755E" w:rsidP="00F8755E">
      <w:pPr>
        <w:pStyle w:val="ListBulleted"/>
      </w:pPr>
      <w:r w:rsidRPr="003171AF">
        <w:rPr>
          <w:i/>
          <w:iCs/>
        </w:rPr>
        <w:t>VR1823</w:t>
      </w:r>
      <w:r>
        <w:t>; and</w:t>
      </w:r>
    </w:p>
    <w:p w14:paraId="59B92365" w14:textId="70919154" w:rsidR="00F8755E" w:rsidRDefault="002D3E72" w:rsidP="00F8755E">
      <w:pPr>
        <w:pStyle w:val="ListBulleted"/>
      </w:pPr>
      <w:r>
        <w:t>I</w:t>
      </w:r>
      <w:r w:rsidR="00F8755E">
        <w:t>nvoice.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CC6A719" w14:textId="77777777" w:rsidR="00F8755E" w:rsidRDefault="00F8755E" w:rsidP="00F8755E">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a </w:t>
      </w:r>
      <w:proofErr w:type="gramStart"/>
      <w:r>
        <w:rPr>
          <w:i/>
          <w:iCs/>
          <w:szCs w:val="22"/>
          <w:lang w:val="en" w:eastAsia="ja-JP"/>
        </w:rPr>
        <w:t>Pre-ETS</w:t>
      </w:r>
      <w:proofErr w:type="gramEnd"/>
      <w:r>
        <w:rPr>
          <w:i/>
          <w:iCs/>
          <w:szCs w:val="22"/>
          <w:lang w:val="en" w:eastAsia="ja-JP"/>
        </w:rPr>
        <w:t xml:space="preserve"> </w:t>
      </w:r>
      <w:r w:rsidRPr="00B64094">
        <w:rPr>
          <w:i/>
          <w:iCs/>
          <w:szCs w:val="22"/>
          <w:lang w:val="en" w:eastAsia="ja-JP"/>
        </w:rPr>
        <w:t>policy and procedures, using the Contracted Service Modification Request form (VR</w:t>
      </w:r>
      <w:r>
        <w:rPr>
          <w:i/>
          <w:iCs/>
          <w:szCs w:val="22"/>
          <w:lang w:val="en" w:eastAsia="ja-JP"/>
        </w:rPr>
        <w:t>3</w:t>
      </w:r>
      <w:r w:rsidRPr="00B64094">
        <w:rPr>
          <w:i/>
          <w:iCs/>
          <w:szCs w:val="22"/>
          <w:lang w:val="en" w:eastAsia="ja-JP"/>
        </w:rPr>
        <w:t>472) prior to changes being implemented.</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A745DD" w:rsidRPr="00E25821" w14:paraId="39F53900" w14:textId="77777777" w:rsidTr="00B656C6">
        <w:trPr>
          <w:tblHeader/>
        </w:trPr>
        <w:tc>
          <w:tcPr>
            <w:tcW w:w="1560" w:type="dxa"/>
            <w:shd w:val="clear" w:color="auto" w:fill="F0F4FA" w:themeFill="accent4"/>
          </w:tcPr>
          <w:p w14:paraId="6555F91C" w14:textId="77777777" w:rsidR="00A745DD" w:rsidRPr="00E25821" w:rsidRDefault="00A745DD" w:rsidP="00B656C6">
            <w:pPr>
              <w:pStyle w:val="THead"/>
              <w:rPr>
                <w:lang w:val="en" w:eastAsia="ja-JP"/>
              </w:rPr>
            </w:pPr>
            <w:r w:rsidRPr="00E25821">
              <w:rPr>
                <w:lang w:val="en" w:eastAsia="ja-JP"/>
              </w:rPr>
              <w:t>Date</w:t>
            </w:r>
          </w:p>
        </w:tc>
        <w:tc>
          <w:tcPr>
            <w:tcW w:w="1905" w:type="dxa"/>
            <w:shd w:val="clear" w:color="auto" w:fill="F0F4FA" w:themeFill="accent4"/>
          </w:tcPr>
          <w:p w14:paraId="2E42A62D" w14:textId="77777777" w:rsidR="00A745DD" w:rsidRPr="00E25821" w:rsidRDefault="00A745DD" w:rsidP="00B656C6">
            <w:pPr>
              <w:pStyle w:val="THead"/>
              <w:rPr>
                <w:lang w:val="en" w:eastAsia="ja-JP"/>
              </w:rPr>
            </w:pPr>
            <w:r w:rsidRPr="00E25821">
              <w:rPr>
                <w:lang w:val="en" w:eastAsia="ja-JP"/>
              </w:rPr>
              <w:t>Type</w:t>
            </w:r>
          </w:p>
        </w:tc>
        <w:tc>
          <w:tcPr>
            <w:tcW w:w="5890" w:type="dxa"/>
            <w:shd w:val="clear" w:color="auto" w:fill="F0F4FA" w:themeFill="accent4"/>
          </w:tcPr>
          <w:p w14:paraId="4DEDE19E" w14:textId="77777777" w:rsidR="00A745DD" w:rsidRPr="00E25821" w:rsidRDefault="00A745DD" w:rsidP="00B656C6">
            <w:pPr>
              <w:pStyle w:val="THead"/>
              <w:rPr>
                <w:lang w:val="en" w:eastAsia="ja-JP"/>
              </w:rPr>
            </w:pPr>
            <w:r w:rsidRPr="00E25821">
              <w:rPr>
                <w:lang w:val="en" w:eastAsia="ja-JP"/>
              </w:rPr>
              <w:t>Change Description</w:t>
            </w:r>
          </w:p>
        </w:tc>
      </w:tr>
      <w:tr w:rsidR="00A745DD" w14:paraId="1BE75E27" w14:textId="77777777" w:rsidTr="00B656C6">
        <w:tc>
          <w:tcPr>
            <w:tcW w:w="1560" w:type="dxa"/>
          </w:tcPr>
          <w:p w14:paraId="0F987D3C" w14:textId="77777777" w:rsidR="00A745DD" w:rsidRDefault="00A745DD" w:rsidP="00B656C6">
            <w:pPr>
              <w:pStyle w:val="ListParagraph"/>
              <w:numPr>
                <w:ilvl w:val="0"/>
                <w:numId w:val="0"/>
              </w:numPr>
            </w:pPr>
            <w:r>
              <w:t>9/3/2024</w:t>
            </w:r>
          </w:p>
        </w:tc>
        <w:tc>
          <w:tcPr>
            <w:tcW w:w="1905" w:type="dxa"/>
          </w:tcPr>
          <w:p w14:paraId="68091E2B" w14:textId="77777777" w:rsidR="00A745DD" w:rsidRDefault="00A745DD" w:rsidP="00B656C6">
            <w:pPr>
              <w:pStyle w:val="ListParagraph"/>
              <w:numPr>
                <w:ilvl w:val="0"/>
                <w:numId w:val="0"/>
              </w:numPr>
            </w:pPr>
            <w:r>
              <w:t>New</w:t>
            </w:r>
          </w:p>
        </w:tc>
        <w:tc>
          <w:tcPr>
            <w:tcW w:w="5890" w:type="dxa"/>
          </w:tcPr>
          <w:p w14:paraId="40D73A60" w14:textId="77777777" w:rsidR="00A745DD" w:rsidRDefault="00A745DD" w:rsidP="00B656C6">
            <w:pPr>
              <w:pStyle w:val="ListParagraph"/>
              <w:numPr>
                <w:ilvl w:val="0"/>
                <w:numId w:val="0"/>
              </w:numPr>
            </w:pPr>
            <w:r>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7508" w14:textId="77777777" w:rsidR="008D0BA6" w:rsidRDefault="008D0BA6" w:rsidP="00895186">
      <w:r>
        <w:separator/>
      </w:r>
    </w:p>
  </w:endnote>
  <w:endnote w:type="continuationSeparator" w:id="0">
    <w:p w14:paraId="4D9A2DAE" w14:textId="77777777" w:rsidR="008D0BA6" w:rsidRDefault="008D0BA6"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1015532" w:rsidR="00B24E6C" w:rsidRDefault="00F8755E" w:rsidP="00895186">
    <w:pPr>
      <w:pStyle w:val="Footer"/>
    </w:pPr>
    <w:r>
      <w:rPr>
        <w:noProof/>
      </w:rPr>
      <mc:AlternateContent>
        <mc:Choice Requires="wps">
          <w:drawing>
            <wp:anchor distT="0" distB="0" distL="114300" distR="114300" simplePos="0" relativeHeight="251661312" behindDoc="0" locked="0" layoutInCell="1" allowOverlap="1" wp14:anchorId="00B0B3F3" wp14:editId="416D60DC">
              <wp:simplePos x="0" y="0"/>
              <wp:positionH relativeFrom="column">
                <wp:posOffset>-374015</wp:posOffset>
              </wp:positionH>
              <wp:positionV relativeFrom="paragraph">
                <wp:posOffset>5715</wp:posOffset>
              </wp:positionV>
              <wp:extent cx="372554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725545" cy="488950"/>
                      </a:xfrm>
                      <a:prstGeom prst="rect">
                        <a:avLst/>
                      </a:prstGeom>
                      <a:noFill/>
                      <a:ln w="6350">
                        <a:noFill/>
                      </a:ln>
                    </wps:spPr>
                    <wps:txbx>
                      <w:txbxContent>
                        <w:p w14:paraId="25686EF3" w14:textId="0DA0FF87" w:rsidR="00501E08" w:rsidRPr="00501E08" w:rsidRDefault="00F8755E" w:rsidP="00895186">
                          <w:r>
                            <w:t>Part C, Chapter 8.4: Contracted Pre-ETS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293.3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uxFwIAACw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" filled="f" stroked="f" strokeweight=".5pt">
              <v:textbox>
                <w:txbxContent>
                  <w:p w14:paraId="25686EF3" w14:textId="0DA0FF87" w:rsidR="00501E08" w:rsidRPr="00501E08" w:rsidRDefault="00F8755E" w:rsidP="00895186">
                    <w:r>
                      <w:t>Part C, Chapter 8.4: Contracted Pre-ETS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30BC85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BC5A" w14:textId="77777777" w:rsidR="008D0BA6" w:rsidRDefault="008D0BA6" w:rsidP="00895186">
      <w:r>
        <w:separator/>
      </w:r>
    </w:p>
  </w:footnote>
  <w:footnote w:type="continuationSeparator" w:id="0">
    <w:p w14:paraId="3CF3ADA3" w14:textId="77777777" w:rsidR="008D0BA6" w:rsidRDefault="008D0BA6"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E4E4A7"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8467568"/>
    <w:multiLevelType w:val="hybridMultilevel"/>
    <w:tmpl w:val="B6126FEE"/>
    <w:lvl w:ilvl="0" w:tplc="3112F558">
      <w:start w:val="1"/>
      <w:numFmt w:val="upperLetter"/>
      <w:lvlText w:val="%1."/>
      <w:lvlJc w:val="left"/>
      <w:pPr>
        <w:ind w:left="990" w:hanging="360"/>
      </w:pPr>
      <w:rPr>
        <w:rFonts w:hint="default"/>
        <w:b w:val="0"/>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C370D"/>
    <w:multiLevelType w:val="multilevel"/>
    <w:tmpl w:val="7BFCF04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0A51C2"/>
    <w:multiLevelType w:val="hybridMultilevel"/>
    <w:tmpl w:val="9DF8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097757"/>
    <w:multiLevelType w:val="hybridMultilevel"/>
    <w:tmpl w:val="C91600EC"/>
    <w:lvl w:ilvl="0" w:tplc="FFFFFFFF">
      <w:start w:val="1"/>
      <w:numFmt w:val="upperLetter"/>
      <w:lvlText w:val="%1."/>
      <w:lvlJc w:val="left"/>
      <w:pPr>
        <w:ind w:left="720" w:hanging="360"/>
      </w:pPr>
      <w:rPr>
        <w:rFonts w:hint="default"/>
        <w:b w:val="0"/>
        <w:bCs/>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8" w15:restartNumberingAfterBreak="0">
    <w:nsid w:val="7FCA4E11"/>
    <w:multiLevelType w:val="hybridMultilevel"/>
    <w:tmpl w:val="365A88E0"/>
    <w:lvl w:ilvl="0" w:tplc="FFFFFFFF">
      <w:start w:val="1"/>
      <w:numFmt w:val="upperLetter"/>
      <w:lvlText w:val="%1."/>
      <w:lvlJc w:val="left"/>
      <w:pPr>
        <w:ind w:left="720" w:hanging="360"/>
      </w:pPr>
      <w:rPr>
        <w:rFonts w:hint="default"/>
        <w:b w:val="0"/>
        <w:bCs/>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4"/>
  </w:num>
  <w:num w:numId="8" w16cid:durableId="436485834">
    <w:abstractNumId w:val="8"/>
  </w:num>
  <w:num w:numId="9" w16cid:durableId="127362230">
    <w:abstractNumId w:val="4"/>
  </w:num>
  <w:num w:numId="10" w16cid:durableId="1604805518">
    <w:abstractNumId w:val="6"/>
  </w:num>
  <w:num w:numId="11" w16cid:durableId="1256401764">
    <w:abstractNumId w:val="26"/>
  </w:num>
  <w:num w:numId="12" w16cid:durableId="1548175440">
    <w:abstractNumId w:val="34"/>
  </w:num>
  <w:num w:numId="13" w16cid:durableId="975644156">
    <w:abstractNumId w:val="7"/>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1"/>
  </w:num>
  <w:num w:numId="19" w16cid:durableId="84305632">
    <w:abstractNumId w:val="12"/>
  </w:num>
  <w:num w:numId="20" w16cid:durableId="1057705478">
    <w:abstractNumId w:val="36"/>
  </w:num>
  <w:num w:numId="21" w16cid:durableId="96758055">
    <w:abstractNumId w:val="24"/>
  </w:num>
  <w:num w:numId="22" w16cid:durableId="722797963">
    <w:abstractNumId w:val="9"/>
  </w:num>
  <w:num w:numId="23" w16cid:durableId="1638485069">
    <w:abstractNumId w:val="16"/>
  </w:num>
  <w:num w:numId="24" w16cid:durableId="1439984590">
    <w:abstractNumId w:val="36"/>
    <w:lvlOverride w:ilvl="0">
      <w:startOverride w:val="1"/>
    </w:lvlOverride>
  </w:num>
  <w:num w:numId="25" w16cid:durableId="460730897">
    <w:abstractNumId w:val="10"/>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7"/>
  </w:num>
  <w:num w:numId="32" w16cid:durableId="191573243">
    <w:abstractNumId w:val="27"/>
  </w:num>
  <w:num w:numId="33" w16cid:durableId="718751240">
    <w:abstractNumId w:val="3"/>
  </w:num>
  <w:num w:numId="34" w16cid:durableId="1367289556">
    <w:abstractNumId w:val="20"/>
  </w:num>
  <w:num w:numId="35" w16cid:durableId="1934777624">
    <w:abstractNumId w:val="11"/>
  </w:num>
  <w:num w:numId="36" w16cid:durableId="1647272484">
    <w:abstractNumId w:val="35"/>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5167354">
    <w:abstractNumId w:val="5"/>
  </w:num>
  <w:num w:numId="40" w16cid:durableId="994265038">
    <w:abstractNumId w:val="30"/>
  </w:num>
  <w:num w:numId="41" w16cid:durableId="1492481678">
    <w:abstractNumId w:val="13"/>
  </w:num>
  <w:num w:numId="42" w16cid:durableId="843936867">
    <w:abstractNumId w:val="28"/>
  </w:num>
  <w:num w:numId="43" w16cid:durableId="735317608">
    <w:abstractNumId w:val="38"/>
  </w:num>
  <w:num w:numId="44" w16cid:durableId="5989486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14D9"/>
    <w:rsid w:val="000172DD"/>
    <w:rsid w:val="00033AAF"/>
    <w:rsid w:val="00036423"/>
    <w:rsid w:val="000509C5"/>
    <w:rsid w:val="00052545"/>
    <w:rsid w:val="00053691"/>
    <w:rsid w:val="000538A8"/>
    <w:rsid w:val="0005762A"/>
    <w:rsid w:val="0006402B"/>
    <w:rsid w:val="000858A4"/>
    <w:rsid w:val="00094031"/>
    <w:rsid w:val="000A1F40"/>
    <w:rsid w:val="000A49E0"/>
    <w:rsid w:val="000A7A13"/>
    <w:rsid w:val="000B1231"/>
    <w:rsid w:val="000B3B97"/>
    <w:rsid w:val="000B6B09"/>
    <w:rsid w:val="000E34FB"/>
    <w:rsid w:val="00103782"/>
    <w:rsid w:val="00133CB2"/>
    <w:rsid w:val="00133D53"/>
    <w:rsid w:val="001427D6"/>
    <w:rsid w:val="00145474"/>
    <w:rsid w:val="0014568F"/>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55DCF"/>
    <w:rsid w:val="0028600F"/>
    <w:rsid w:val="00291D54"/>
    <w:rsid w:val="002941B6"/>
    <w:rsid w:val="002A345C"/>
    <w:rsid w:val="002B3B60"/>
    <w:rsid w:val="002C0046"/>
    <w:rsid w:val="002D3E72"/>
    <w:rsid w:val="002E0AF2"/>
    <w:rsid w:val="002F3A16"/>
    <w:rsid w:val="002F5BFF"/>
    <w:rsid w:val="002F7604"/>
    <w:rsid w:val="00303143"/>
    <w:rsid w:val="003155F3"/>
    <w:rsid w:val="003171AF"/>
    <w:rsid w:val="00330015"/>
    <w:rsid w:val="0033181C"/>
    <w:rsid w:val="00340B05"/>
    <w:rsid w:val="003435FF"/>
    <w:rsid w:val="003500F1"/>
    <w:rsid w:val="00380C78"/>
    <w:rsid w:val="00381C86"/>
    <w:rsid w:val="00387B68"/>
    <w:rsid w:val="003B11A4"/>
    <w:rsid w:val="003E1761"/>
    <w:rsid w:val="0040721D"/>
    <w:rsid w:val="00414B84"/>
    <w:rsid w:val="00417839"/>
    <w:rsid w:val="00420B1A"/>
    <w:rsid w:val="00422F66"/>
    <w:rsid w:val="00424A8D"/>
    <w:rsid w:val="00437552"/>
    <w:rsid w:val="004431A5"/>
    <w:rsid w:val="0044342D"/>
    <w:rsid w:val="00466948"/>
    <w:rsid w:val="00472E58"/>
    <w:rsid w:val="00473095"/>
    <w:rsid w:val="0049537E"/>
    <w:rsid w:val="00497815"/>
    <w:rsid w:val="004C5E23"/>
    <w:rsid w:val="004D1AA0"/>
    <w:rsid w:val="004E6008"/>
    <w:rsid w:val="004F4998"/>
    <w:rsid w:val="00501E08"/>
    <w:rsid w:val="00507EDE"/>
    <w:rsid w:val="00512F6B"/>
    <w:rsid w:val="005349DD"/>
    <w:rsid w:val="0055129C"/>
    <w:rsid w:val="00555595"/>
    <w:rsid w:val="005735AB"/>
    <w:rsid w:val="0057562C"/>
    <w:rsid w:val="00580991"/>
    <w:rsid w:val="005820F2"/>
    <w:rsid w:val="00590E50"/>
    <w:rsid w:val="005928C0"/>
    <w:rsid w:val="005A5B07"/>
    <w:rsid w:val="005B1174"/>
    <w:rsid w:val="005D431C"/>
    <w:rsid w:val="005E363C"/>
    <w:rsid w:val="005F0E52"/>
    <w:rsid w:val="00602597"/>
    <w:rsid w:val="00630DAE"/>
    <w:rsid w:val="00663892"/>
    <w:rsid w:val="006822AE"/>
    <w:rsid w:val="00684E9F"/>
    <w:rsid w:val="006B6534"/>
    <w:rsid w:val="006D108A"/>
    <w:rsid w:val="006D3A41"/>
    <w:rsid w:val="006D48B4"/>
    <w:rsid w:val="006D7231"/>
    <w:rsid w:val="006F3E47"/>
    <w:rsid w:val="006F605F"/>
    <w:rsid w:val="00700604"/>
    <w:rsid w:val="00701EDA"/>
    <w:rsid w:val="007253AC"/>
    <w:rsid w:val="00732372"/>
    <w:rsid w:val="00736261"/>
    <w:rsid w:val="00737F40"/>
    <w:rsid w:val="007400FF"/>
    <w:rsid w:val="0075227F"/>
    <w:rsid w:val="0075656E"/>
    <w:rsid w:val="00781378"/>
    <w:rsid w:val="00785189"/>
    <w:rsid w:val="007C2A47"/>
    <w:rsid w:val="007D6F90"/>
    <w:rsid w:val="007F11FA"/>
    <w:rsid w:val="007F608C"/>
    <w:rsid w:val="008021D5"/>
    <w:rsid w:val="008101E7"/>
    <w:rsid w:val="00817FD0"/>
    <w:rsid w:val="00823238"/>
    <w:rsid w:val="008305E7"/>
    <w:rsid w:val="008307C2"/>
    <w:rsid w:val="00831F7C"/>
    <w:rsid w:val="00837800"/>
    <w:rsid w:val="008445D4"/>
    <w:rsid w:val="00851005"/>
    <w:rsid w:val="0087043F"/>
    <w:rsid w:val="008749BC"/>
    <w:rsid w:val="00877B4B"/>
    <w:rsid w:val="00880480"/>
    <w:rsid w:val="00894538"/>
    <w:rsid w:val="00895186"/>
    <w:rsid w:val="00896AC1"/>
    <w:rsid w:val="008A37E9"/>
    <w:rsid w:val="008B46E0"/>
    <w:rsid w:val="008D0BA6"/>
    <w:rsid w:val="008D77B1"/>
    <w:rsid w:val="008E0E02"/>
    <w:rsid w:val="008E194F"/>
    <w:rsid w:val="008E4387"/>
    <w:rsid w:val="008E6734"/>
    <w:rsid w:val="008E7E48"/>
    <w:rsid w:val="008F1BE2"/>
    <w:rsid w:val="00900089"/>
    <w:rsid w:val="009033A9"/>
    <w:rsid w:val="009201F6"/>
    <w:rsid w:val="00925A41"/>
    <w:rsid w:val="00925B3F"/>
    <w:rsid w:val="00934027"/>
    <w:rsid w:val="0094174B"/>
    <w:rsid w:val="00941D80"/>
    <w:rsid w:val="009464D8"/>
    <w:rsid w:val="0095013C"/>
    <w:rsid w:val="00962B98"/>
    <w:rsid w:val="00984C14"/>
    <w:rsid w:val="00986961"/>
    <w:rsid w:val="00995554"/>
    <w:rsid w:val="009B3100"/>
    <w:rsid w:val="009E4C3E"/>
    <w:rsid w:val="009E694D"/>
    <w:rsid w:val="009F4153"/>
    <w:rsid w:val="00A001F3"/>
    <w:rsid w:val="00A010F6"/>
    <w:rsid w:val="00A276C5"/>
    <w:rsid w:val="00A4148F"/>
    <w:rsid w:val="00A53108"/>
    <w:rsid w:val="00A70A13"/>
    <w:rsid w:val="00A70A57"/>
    <w:rsid w:val="00A745DD"/>
    <w:rsid w:val="00A81DE6"/>
    <w:rsid w:val="00AA1208"/>
    <w:rsid w:val="00AA1D64"/>
    <w:rsid w:val="00AB7064"/>
    <w:rsid w:val="00AC49D4"/>
    <w:rsid w:val="00AD3BBC"/>
    <w:rsid w:val="00AD4C2A"/>
    <w:rsid w:val="00AD6C5A"/>
    <w:rsid w:val="00AE3E47"/>
    <w:rsid w:val="00AF2E87"/>
    <w:rsid w:val="00B01FA6"/>
    <w:rsid w:val="00B11930"/>
    <w:rsid w:val="00B23B90"/>
    <w:rsid w:val="00B24E6C"/>
    <w:rsid w:val="00B4029A"/>
    <w:rsid w:val="00B51052"/>
    <w:rsid w:val="00B53ADD"/>
    <w:rsid w:val="00B63DC8"/>
    <w:rsid w:val="00B83A23"/>
    <w:rsid w:val="00BA2C02"/>
    <w:rsid w:val="00BB04EE"/>
    <w:rsid w:val="00BB1B54"/>
    <w:rsid w:val="00BB78B9"/>
    <w:rsid w:val="00BC1D5B"/>
    <w:rsid w:val="00BC1F9F"/>
    <w:rsid w:val="00BD18CB"/>
    <w:rsid w:val="00BD4453"/>
    <w:rsid w:val="00C10E29"/>
    <w:rsid w:val="00C179E1"/>
    <w:rsid w:val="00C352AB"/>
    <w:rsid w:val="00C52486"/>
    <w:rsid w:val="00C57B6D"/>
    <w:rsid w:val="00C71AE5"/>
    <w:rsid w:val="00C759E8"/>
    <w:rsid w:val="00C828B1"/>
    <w:rsid w:val="00CA4C54"/>
    <w:rsid w:val="00CA6FBB"/>
    <w:rsid w:val="00CB2389"/>
    <w:rsid w:val="00CB3FD2"/>
    <w:rsid w:val="00CB5436"/>
    <w:rsid w:val="00CD68B6"/>
    <w:rsid w:val="00CF06B7"/>
    <w:rsid w:val="00CF51B9"/>
    <w:rsid w:val="00D013F0"/>
    <w:rsid w:val="00D064C9"/>
    <w:rsid w:val="00D12C14"/>
    <w:rsid w:val="00D164C7"/>
    <w:rsid w:val="00D22E37"/>
    <w:rsid w:val="00D2701D"/>
    <w:rsid w:val="00D3236B"/>
    <w:rsid w:val="00D3285D"/>
    <w:rsid w:val="00D451D6"/>
    <w:rsid w:val="00D5593A"/>
    <w:rsid w:val="00D642BC"/>
    <w:rsid w:val="00D6606B"/>
    <w:rsid w:val="00D77322"/>
    <w:rsid w:val="00DA5511"/>
    <w:rsid w:val="00DB5FC8"/>
    <w:rsid w:val="00DC3298"/>
    <w:rsid w:val="00DC3C01"/>
    <w:rsid w:val="00DE0BFC"/>
    <w:rsid w:val="00DE1623"/>
    <w:rsid w:val="00DE30FB"/>
    <w:rsid w:val="00DF5CB7"/>
    <w:rsid w:val="00E00C55"/>
    <w:rsid w:val="00E13DCC"/>
    <w:rsid w:val="00E16BE9"/>
    <w:rsid w:val="00E22B68"/>
    <w:rsid w:val="00E23F3D"/>
    <w:rsid w:val="00E4574C"/>
    <w:rsid w:val="00E56129"/>
    <w:rsid w:val="00E57035"/>
    <w:rsid w:val="00E73325"/>
    <w:rsid w:val="00E73894"/>
    <w:rsid w:val="00E759EC"/>
    <w:rsid w:val="00E81B1A"/>
    <w:rsid w:val="00E83ABD"/>
    <w:rsid w:val="00E95975"/>
    <w:rsid w:val="00ED1ABB"/>
    <w:rsid w:val="00EF55C3"/>
    <w:rsid w:val="00F004FB"/>
    <w:rsid w:val="00F01C9E"/>
    <w:rsid w:val="00F0306B"/>
    <w:rsid w:val="00F04098"/>
    <w:rsid w:val="00F1048D"/>
    <w:rsid w:val="00F21255"/>
    <w:rsid w:val="00F43B91"/>
    <w:rsid w:val="00F54EFD"/>
    <w:rsid w:val="00F5573C"/>
    <w:rsid w:val="00F615A4"/>
    <w:rsid w:val="00F63D84"/>
    <w:rsid w:val="00F7406E"/>
    <w:rsid w:val="00F82376"/>
    <w:rsid w:val="00F8755E"/>
    <w:rsid w:val="00FA3AD4"/>
    <w:rsid w:val="00FB144E"/>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8755E"/>
    <w:rPr>
      <w:color w:val="9F3223" w:themeColor="hyperlink"/>
      <w:u w:val="single"/>
    </w:rPr>
  </w:style>
  <w:style w:type="character" w:styleId="UnresolvedMention">
    <w:name w:val="Unresolved Mention"/>
    <w:basedOn w:val="DefaultParagraphFont"/>
    <w:uiPriority w:val="99"/>
    <w:semiHidden/>
    <w:unhideWhenUsed/>
    <w:rsid w:val="00F8755E"/>
    <w:rPr>
      <w:color w:val="605E5C"/>
      <w:shd w:val="clear" w:color="auto" w:fill="E1DFDD"/>
    </w:rPr>
  </w:style>
  <w:style w:type="paragraph" w:styleId="NormalWeb">
    <w:name w:val="Normal (Web)"/>
    <w:basedOn w:val="Normal"/>
    <w:uiPriority w:val="99"/>
    <w:unhideWhenUsed/>
    <w:rsid w:val="00F8755E"/>
    <w:pPr>
      <w:autoSpaceDE w:val="0"/>
      <w:autoSpaceDN w:val="0"/>
      <w:adjustRightInd w:val="0"/>
    </w:pPr>
    <w:rPr>
      <w:rFonts w:ascii="Times New Roman" w:eastAsia="Times New Roman" w:hAnsi="Times New Roman" w:cs="Times New Roman"/>
      <w:color w:val="000000"/>
      <w:kern w:val="0"/>
      <w14:ligatures w14:val="none"/>
    </w:rPr>
  </w:style>
  <w:style w:type="character" w:customStyle="1" w:styleId="ui-provider">
    <w:name w:val="ui-provider"/>
    <w:basedOn w:val="DefaultParagraphFont"/>
    <w:rsid w:val="00F8755E"/>
  </w:style>
  <w:style w:type="paragraph" w:styleId="Revision">
    <w:name w:val="Revision"/>
    <w:hidden/>
    <w:uiPriority w:val="99"/>
    <w:semiHidden/>
    <w:rsid w:val="00F875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BC1F9F"/>
    <w:rPr>
      <w:sz w:val="16"/>
      <w:szCs w:val="16"/>
    </w:rPr>
  </w:style>
  <w:style w:type="paragraph" w:styleId="CommentText">
    <w:name w:val="annotation text"/>
    <w:basedOn w:val="Normal"/>
    <w:link w:val="CommentTextChar"/>
    <w:uiPriority w:val="99"/>
    <w:unhideWhenUsed/>
    <w:rsid w:val="00BC1F9F"/>
    <w:pPr>
      <w:spacing w:line="240" w:lineRule="auto"/>
    </w:pPr>
    <w:rPr>
      <w:sz w:val="20"/>
      <w:szCs w:val="20"/>
    </w:rPr>
  </w:style>
  <w:style w:type="character" w:customStyle="1" w:styleId="CommentTextChar">
    <w:name w:val="Comment Text Char"/>
    <w:basedOn w:val="DefaultParagraphFont"/>
    <w:link w:val="CommentText"/>
    <w:uiPriority w:val="99"/>
    <w:rsid w:val="00BC1F9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C1F9F"/>
    <w:rPr>
      <w:b/>
      <w:bCs/>
    </w:rPr>
  </w:style>
  <w:style w:type="character" w:customStyle="1" w:styleId="CommentSubjectChar">
    <w:name w:val="Comment Subject Char"/>
    <w:basedOn w:val="CommentTextChar"/>
    <w:link w:val="CommentSubject"/>
    <w:uiPriority w:val="99"/>
    <w:semiHidden/>
    <w:rsid w:val="00BC1F9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8034">
      <w:bodyDiv w:val="1"/>
      <w:marLeft w:val="0"/>
      <w:marRight w:val="0"/>
      <w:marTop w:val="0"/>
      <w:marBottom w:val="0"/>
      <w:divBdr>
        <w:top w:val="none" w:sz="0" w:space="0" w:color="auto"/>
        <w:left w:val="none" w:sz="0" w:space="0" w:color="auto"/>
        <w:bottom w:val="none" w:sz="0" w:space="0" w:color="auto"/>
        <w:right w:val="none" w:sz="0" w:space="0" w:color="auto"/>
      </w:divBdr>
    </w:div>
    <w:div w:id="230894627">
      <w:bodyDiv w:val="1"/>
      <w:marLeft w:val="0"/>
      <w:marRight w:val="0"/>
      <w:marTop w:val="0"/>
      <w:marBottom w:val="0"/>
      <w:divBdr>
        <w:top w:val="none" w:sz="0" w:space="0" w:color="auto"/>
        <w:left w:val="none" w:sz="0" w:space="0" w:color="auto"/>
        <w:bottom w:val="none" w:sz="0" w:space="0" w:color="auto"/>
        <w:right w:val="none" w:sz="0" w:space="0" w:color="auto"/>
      </w:divBdr>
    </w:div>
    <w:div w:id="327515493">
      <w:bodyDiv w:val="1"/>
      <w:marLeft w:val="0"/>
      <w:marRight w:val="0"/>
      <w:marTop w:val="0"/>
      <w:marBottom w:val="0"/>
      <w:divBdr>
        <w:top w:val="none" w:sz="0" w:space="0" w:color="auto"/>
        <w:left w:val="none" w:sz="0" w:space="0" w:color="auto"/>
        <w:bottom w:val="none" w:sz="0" w:space="0" w:color="auto"/>
        <w:right w:val="none" w:sz="0" w:space="0" w:color="auto"/>
      </w:divBdr>
    </w:div>
    <w:div w:id="407919186">
      <w:bodyDiv w:val="1"/>
      <w:marLeft w:val="0"/>
      <w:marRight w:val="0"/>
      <w:marTop w:val="0"/>
      <w:marBottom w:val="0"/>
      <w:divBdr>
        <w:top w:val="none" w:sz="0" w:space="0" w:color="auto"/>
        <w:left w:val="none" w:sz="0" w:space="0" w:color="auto"/>
        <w:bottom w:val="none" w:sz="0" w:space="0" w:color="auto"/>
        <w:right w:val="none" w:sz="0" w:space="0" w:color="auto"/>
      </w:divBdr>
    </w:div>
    <w:div w:id="543174719">
      <w:bodyDiv w:val="1"/>
      <w:marLeft w:val="0"/>
      <w:marRight w:val="0"/>
      <w:marTop w:val="0"/>
      <w:marBottom w:val="0"/>
      <w:divBdr>
        <w:top w:val="none" w:sz="0" w:space="0" w:color="auto"/>
        <w:left w:val="none" w:sz="0" w:space="0" w:color="auto"/>
        <w:bottom w:val="none" w:sz="0" w:space="0" w:color="auto"/>
        <w:right w:val="none" w:sz="0" w:space="0" w:color="auto"/>
      </w:divBdr>
    </w:div>
    <w:div w:id="731972485">
      <w:bodyDiv w:val="1"/>
      <w:marLeft w:val="0"/>
      <w:marRight w:val="0"/>
      <w:marTop w:val="0"/>
      <w:marBottom w:val="0"/>
      <w:divBdr>
        <w:top w:val="none" w:sz="0" w:space="0" w:color="auto"/>
        <w:left w:val="none" w:sz="0" w:space="0" w:color="auto"/>
        <w:bottom w:val="none" w:sz="0" w:space="0" w:color="auto"/>
        <w:right w:val="none" w:sz="0" w:space="0" w:color="auto"/>
      </w:divBdr>
    </w:div>
    <w:div w:id="769814513">
      <w:bodyDiv w:val="1"/>
      <w:marLeft w:val="0"/>
      <w:marRight w:val="0"/>
      <w:marTop w:val="0"/>
      <w:marBottom w:val="0"/>
      <w:divBdr>
        <w:top w:val="none" w:sz="0" w:space="0" w:color="auto"/>
        <w:left w:val="none" w:sz="0" w:space="0" w:color="auto"/>
        <w:bottom w:val="none" w:sz="0" w:space="0" w:color="auto"/>
        <w:right w:val="none" w:sz="0" w:space="0" w:color="auto"/>
      </w:divBdr>
    </w:div>
    <w:div w:id="1006515817">
      <w:bodyDiv w:val="1"/>
      <w:marLeft w:val="0"/>
      <w:marRight w:val="0"/>
      <w:marTop w:val="0"/>
      <w:marBottom w:val="0"/>
      <w:divBdr>
        <w:top w:val="none" w:sz="0" w:space="0" w:color="auto"/>
        <w:left w:val="none" w:sz="0" w:space="0" w:color="auto"/>
        <w:bottom w:val="none" w:sz="0" w:space="0" w:color="auto"/>
        <w:right w:val="none" w:sz="0" w:space="0" w:color="auto"/>
      </w:divBdr>
    </w:div>
    <w:div w:id="1039821545">
      <w:bodyDiv w:val="1"/>
      <w:marLeft w:val="0"/>
      <w:marRight w:val="0"/>
      <w:marTop w:val="0"/>
      <w:marBottom w:val="0"/>
      <w:divBdr>
        <w:top w:val="none" w:sz="0" w:space="0" w:color="auto"/>
        <w:left w:val="none" w:sz="0" w:space="0" w:color="auto"/>
        <w:bottom w:val="none" w:sz="0" w:space="0" w:color="auto"/>
        <w:right w:val="none" w:sz="0" w:space="0" w:color="auto"/>
      </w:divBdr>
    </w:div>
    <w:div w:id="1395854000">
      <w:bodyDiv w:val="1"/>
      <w:marLeft w:val="0"/>
      <w:marRight w:val="0"/>
      <w:marTop w:val="0"/>
      <w:marBottom w:val="0"/>
      <w:divBdr>
        <w:top w:val="none" w:sz="0" w:space="0" w:color="auto"/>
        <w:left w:val="none" w:sz="0" w:space="0" w:color="auto"/>
        <w:bottom w:val="none" w:sz="0" w:space="0" w:color="auto"/>
        <w:right w:val="none" w:sz="0" w:space="0" w:color="auto"/>
      </w:divBdr>
    </w:div>
    <w:div w:id="1691375920">
      <w:bodyDiv w:val="1"/>
      <w:marLeft w:val="0"/>
      <w:marRight w:val="0"/>
      <w:marTop w:val="0"/>
      <w:marBottom w:val="0"/>
      <w:divBdr>
        <w:top w:val="none" w:sz="0" w:space="0" w:color="auto"/>
        <w:left w:val="none" w:sz="0" w:space="0" w:color="auto"/>
        <w:bottom w:val="none" w:sz="0" w:space="0" w:color="auto"/>
        <w:right w:val="none" w:sz="0" w:space="0" w:color="auto"/>
      </w:divBdr>
    </w:div>
    <w:div w:id="1871840969">
      <w:bodyDiv w:val="1"/>
      <w:marLeft w:val="0"/>
      <w:marRight w:val="0"/>
      <w:marTop w:val="0"/>
      <w:marBottom w:val="0"/>
      <w:divBdr>
        <w:top w:val="none" w:sz="0" w:space="0" w:color="auto"/>
        <w:left w:val="none" w:sz="0" w:space="0" w:color="auto"/>
        <w:bottom w:val="none" w:sz="0" w:space="0" w:color="auto"/>
        <w:right w:val="none" w:sz="0" w:space="0" w:color="auto"/>
      </w:divBdr>
    </w:div>
    <w:div w:id="21195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34/part-361/section-361.6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eralregister.gov/documents/2022/03/21/2022-05940/state-vocational-rehabilitation-services-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https://statutes.capitol.texas.gov/Docs/LA/htm/LA.352.htm" TargetMode="External"/><Relationship Id="rId10" Type="http://schemas.openxmlformats.org/officeDocument/2006/relationships/hyperlink" Target="https://www.ecfr.gov/current/title-34/part-3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ection-36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 8/21 uploaded to IMCE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73803FED-5DC9-4216-9DF4-956073AA6C0D}">
  <ds:schemaRefs>
    <ds:schemaRef ds:uri="http://schemas.microsoft.com/sharepoint/v3/contenttype/forms"/>
  </ds:schemaRefs>
</ds:datastoreItem>
</file>

<file path=customXml/itemProps2.xml><?xml version="1.0" encoding="utf-8"?>
<ds:datastoreItem xmlns:ds="http://schemas.openxmlformats.org/officeDocument/2006/customXml" ds:itemID="{7A66A0B2-975C-45CD-BB29-F16C548A4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67EAB-CFF9-475D-BED2-ED467EC9899D}">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58825e9e-cc90-40c0-979d-f08666619410"/>
    <ds:schemaRef ds:uri="041c5daf-9d3a-4e9a-b660-f4ef0b4e5805"/>
    <ds:schemaRef ds:uri="6bfde61a-94c1-42db-b4d1-79e5b3c6adc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VRSM - Part C, Chapter 8.4 - Contracted Pre-ETS</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8.4 - Contracted Pre-ETS</dc:title>
  <dc:subject/>
  <dc:creator>TWC-VR</dc:creator>
  <cp:keywords>Texas Workforce Commission Vocational Rehabilitation Services Manual (VRSM) policy</cp:keywords>
  <dc:description/>
  <cp:lastModifiedBy>Cooke,Heather J</cp:lastModifiedBy>
  <cp:revision>13</cp:revision>
  <dcterms:created xsi:type="dcterms:W3CDTF">2024-08-20T15:58:00Z</dcterms:created>
  <dcterms:modified xsi:type="dcterms:W3CDTF">2024-08-20T20:58:00Z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