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02715328" w:rsidR="002A345C" w:rsidRDefault="00FB0989" w:rsidP="00124DDB">
      <w:pPr>
        <w:pStyle w:val="Heading1"/>
      </w:pPr>
      <w:r w:rsidRPr="00124DDB">
        <w:t xml:space="preserve">PART C, CHAPTER 6.3: </w:t>
      </w:r>
      <w:r>
        <w:t>DEAFBLIND SERVICES</w:t>
      </w:r>
    </w:p>
    <w:tbl>
      <w:tblPr>
        <w:tblW w:w="9350" w:type="dxa"/>
        <w:tblLook w:val="04A0" w:firstRow="1" w:lastRow="0" w:firstColumn="1" w:lastColumn="0" w:noHBand="0" w:noVBand="1"/>
      </w:tblPr>
      <w:tblGrid>
        <w:gridCol w:w="1960"/>
        <w:gridCol w:w="1283"/>
        <w:gridCol w:w="4922"/>
        <w:gridCol w:w="1234"/>
      </w:tblGrid>
      <w:tr w:rsidR="00270B6C" w:rsidRPr="00270B6C" w14:paraId="0B07FD04" w14:textId="77777777" w:rsidTr="00270B6C">
        <w:trPr>
          <w:trHeight w:val="315"/>
        </w:trPr>
        <w:tc>
          <w:tcPr>
            <w:tcW w:w="1960"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BB08830" w14:textId="77777777" w:rsidR="00270B6C" w:rsidRPr="00270B6C" w:rsidRDefault="00270B6C" w:rsidP="00270B6C">
            <w:pPr>
              <w:spacing w:before="0" w:after="0" w:line="240" w:lineRule="auto"/>
              <w:rPr>
                <w:rFonts w:eastAsia="Times New Roman"/>
                <w:b/>
                <w:bCs/>
                <w:color w:val="000000"/>
                <w:kern w:val="0"/>
                <w14:ligatures w14:val="none"/>
              </w:rPr>
            </w:pPr>
            <w:r w:rsidRPr="00270B6C">
              <w:rPr>
                <w:rFonts w:eastAsia="Times New Roman"/>
                <w:b/>
                <w:bCs/>
                <w:color w:val="000000"/>
                <w:kern w:val="0"/>
                <w:lang w:val="en" w:eastAsia="ja-JP"/>
                <w14:ligatures w14:val="none"/>
              </w:rPr>
              <w:t>Policy Number</w:t>
            </w:r>
          </w:p>
        </w:tc>
        <w:tc>
          <w:tcPr>
            <w:tcW w:w="1234" w:type="dxa"/>
            <w:tcBorders>
              <w:top w:val="single" w:sz="4" w:space="0" w:color="auto"/>
              <w:left w:val="nil"/>
              <w:bottom w:val="single" w:sz="4" w:space="0" w:color="auto"/>
              <w:right w:val="single" w:sz="4" w:space="0" w:color="auto"/>
            </w:tcBorders>
            <w:shd w:val="clear" w:color="000000" w:fill="F0F4FA"/>
            <w:noWrap/>
            <w:vAlign w:val="bottom"/>
            <w:hideMark/>
          </w:tcPr>
          <w:p w14:paraId="6E658AA7" w14:textId="77777777" w:rsidR="00270B6C" w:rsidRPr="00270B6C" w:rsidRDefault="00270B6C" w:rsidP="00270B6C">
            <w:pPr>
              <w:spacing w:before="0" w:after="0" w:line="240" w:lineRule="auto"/>
              <w:rPr>
                <w:rFonts w:eastAsia="Times New Roman"/>
                <w:b/>
                <w:bCs/>
                <w:color w:val="000000"/>
                <w:kern w:val="0"/>
                <w14:ligatures w14:val="none"/>
              </w:rPr>
            </w:pPr>
            <w:r w:rsidRPr="00270B6C">
              <w:rPr>
                <w:rFonts w:eastAsia="Times New Roman"/>
                <w:b/>
                <w:bCs/>
                <w:color w:val="000000"/>
                <w:kern w:val="0"/>
                <w:lang w:val="en" w:eastAsia="ja-JP"/>
                <w14:ligatures w14:val="none"/>
              </w:rPr>
              <w:t>Authority</w:t>
            </w:r>
          </w:p>
        </w:tc>
        <w:tc>
          <w:tcPr>
            <w:tcW w:w="4922" w:type="dxa"/>
            <w:tcBorders>
              <w:top w:val="single" w:sz="4" w:space="0" w:color="auto"/>
              <w:left w:val="nil"/>
              <w:bottom w:val="single" w:sz="4" w:space="0" w:color="auto"/>
              <w:right w:val="single" w:sz="4" w:space="0" w:color="auto"/>
            </w:tcBorders>
            <w:shd w:val="clear" w:color="000000" w:fill="F0F4FA"/>
            <w:noWrap/>
            <w:vAlign w:val="bottom"/>
            <w:hideMark/>
          </w:tcPr>
          <w:p w14:paraId="48851431" w14:textId="77777777" w:rsidR="00270B6C" w:rsidRPr="00270B6C" w:rsidRDefault="00270B6C" w:rsidP="00270B6C">
            <w:pPr>
              <w:spacing w:before="0" w:after="0" w:line="240" w:lineRule="auto"/>
              <w:rPr>
                <w:rFonts w:eastAsia="Times New Roman"/>
                <w:b/>
                <w:bCs/>
                <w:color w:val="000000"/>
                <w:kern w:val="0"/>
                <w14:ligatures w14:val="none"/>
              </w:rPr>
            </w:pPr>
            <w:r w:rsidRPr="00270B6C">
              <w:rPr>
                <w:rFonts w:eastAsia="Times New Roman"/>
                <w:b/>
                <w:bCs/>
                <w:color w:val="000000"/>
                <w:kern w:val="0"/>
                <w:lang w:val="en" w:eastAsia="ja-JP"/>
                <w14:ligatures w14:val="none"/>
              </w:rPr>
              <w:t xml:space="preserve">Scope </w:t>
            </w:r>
          </w:p>
        </w:tc>
        <w:tc>
          <w:tcPr>
            <w:tcW w:w="1234" w:type="dxa"/>
            <w:tcBorders>
              <w:top w:val="single" w:sz="4" w:space="0" w:color="auto"/>
              <w:left w:val="nil"/>
              <w:bottom w:val="single" w:sz="4" w:space="0" w:color="auto"/>
              <w:right w:val="single" w:sz="4" w:space="0" w:color="auto"/>
            </w:tcBorders>
            <w:shd w:val="clear" w:color="000000" w:fill="F0F4FA"/>
            <w:noWrap/>
            <w:vAlign w:val="bottom"/>
            <w:hideMark/>
          </w:tcPr>
          <w:p w14:paraId="34646874" w14:textId="77777777" w:rsidR="00270B6C" w:rsidRPr="00270B6C" w:rsidRDefault="00270B6C" w:rsidP="00270B6C">
            <w:pPr>
              <w:spacing w:before="0" w:after="0" w:line="240" w:lineRule="auto"/>
              <w:rPr>
                <w:rFonts w:eastAsia="Times New Roman"/>
                <w:b/>
                <w:bCs/>
                <w:color w:val="000000"/>
                <w:kern w:val="0"/>
                <w14:ligatures w14:val="none"/>
              </w:rPr>
            </w:pPr>
            <w:r w:rsidRPr="00270B6C">
              <w:rPr>
                <w:rFonts w:eastAsia="Times New Roman"/>
                <w:b/>
                <w:bCs/>
                <w:color w:val="000000"/>
                <w:kern w:val="0"/>
                <w:lang w:val="en" w:eastAsia="ja-JP"/>
                <w14:ligatures w14:val="none"/>
              </w:rPr>
              <w:t>Effective Date</w:t>
            </w:r>
          </w:p>
        </w:tc>
      </w:tr>
      <w:tr w:rsidR="00270B6C" w:rsidRPr="00270B6C" w14:paraId="1927AA14" w14:textId="77777777" w:rsidTr="00270B6C">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C8231E2" w14:textId="77777777" w:rsidR="00270B6C" w:rsidRPr="00270B6C" w:rsidRDefault="00270B6C" w:rsidP="00270B6C">
            <w:pPr>
              <w:spacing w:before="0" w:after="0" w:line="240" w:lineRule="auto"/>
              <w:rPr>
                <w:rFonts w:eastAsia="Times New Roman"/>
                <w:color w:val="000000"/>
                <w:kern w:val="0"/>
                <w14:ligatures w14:val="none"/>
              </w:rPr>
            </w:pPr>
            <w:r w:rsidRPr="00270B6C">
              <w:rPr>
                <w:rFonts w:eastAsia="Times New Roman"/>
                <w:color w:val="000000"/>
                <w:kern w:val="0"/>
                <w:lang w:val="en" w:eastAsia="ja-JP"/>
                <w14:ligatures w14:val="none"/>
              </w:rPr>
              <w:t>Part C, Chapter 6.3</w:t>
            </w:r>
          </w:p>
        </w:tc>
        <w:tc>
          <w:tcPr>
            <w:tcW w:w="1234" w:type="dxa"/>
            <w:tcBorders>
              <w:top w:val="nil"/>
              <w:left w:val="nil"/>
              <w:bottom w:val="single" w:sz="4" w:space="0" w:color="auto"/>
              <w:right w:val="single" w:sz="4" w:space="0" w:color="auto"/>
            </w:tcBorders>
            <w:shd w:val="clear" w:color="auto" w:fill="auto"/>
            <w:noWrap/>
            <w:vAlign w:val="bottom"/>
            <w:hideMark/>
          </w:tcPr>
          <w:p w14:paraId="39C0841E" w14:textId="77777777" w:rsidR="00270B6C" w:rsidRPr="00270B6C" w:rsidRDefault="00270B6C" w:rsidP="00270B6C">
            <w:pPr>
              <w:spacing w:before="0" w:after="0" w:line="240" w:lineRule="auto"/>
              <w:rPr>
                <w:rFonts w:eastAsia="Times New Roman"/>
                <w:color w:val="000000"/>
                <w:kern w:val="0"/>
                <w14:ligatures w14:val="none"/>
              </w:rPr>
            </w:pPr>
            <w:r w:rsidRPr="00270B6C">
              <w:rPr>
                <w:rFonts w:eastAsia="Times New Roman"/>
                <w:color w:val="000000"/>
                <w:kern w:val="0"/>
                <w14:ligatures w14:val="none"/>
              </w:rPr>
              <w:t>N/A</w:t>
            </w:r>
          </w:p>
        </w:tc>
        <w:tc>
          <w:tcPr>
            <w:tcW w:w="4922" w:type="dxa"/>
            <w:tcBorders>
              <w:top w:val="nil"/>
              <w:left w:val="nil"/>
              <w:bottom w:val="single" w:sz="4" w:space="0" w:color="auto"/>
              <w:right w:val="single" w:sz="4" w:space="0" w:color="auto"/>
            </w:tcBorders>
            <w:shd w:val="clear" w:color="auto" w:fill="auto"/>
            <w:noWrap/>
            <w:vAlign w:val="bottom"/>
            <w:hideMark/>
          </w:tcPr>
          <w:p w14:paraId="299944A6" w14:textId="77777777" w:rsidR="00270B6C" w:rsidRPr="00270B6C" w:rsidRDefault="00270B6C" w:rsidP="00270B6C">
            <w:pPr>
              <w:spacing w:before="0" w:after="0" w:line="240" w:lineRule="auto"/>
              <w:rPr>
                <w:rFonts w:eastAsia="Times New Roman"/>
                <w:color w:val="000000"/>
                <w:kern w:val="0"/>
                <w14:ligatures w14:val="none"/>
              </w:rPr>
            </w:pPr>
            <w:r w:rsidRPr="00270B6C">
              <w:rPr>
                <w:rFonts w:eastAsia="Times New Roman"/>
                <w:color w:val="000000"/>
                <w:kern w:val="0"/>
                <w14:ligatures w14:val="none"/>
              </w:rPr>
              <w:t>All TWC-VR staff, particularly BVI VR Counselors</w:t>
            </w:r>
          </w:p>
        </w:tc>
        <w:tc>
          <w:tcPr>
            <w:tcW w:w="1234" w:type="dxa"/>
            <w:tcBorders>
              <w:top w:val="nil"/>
              <w:left w:val="nil"/>
              <w:bottom w:val="single" w:sz="4" w:space="0" w:color="auto"/>
              <w:right w:val="single" w:sz="4" w:space="0" w:color="auto"/>
            </w:tcBorders>
            <w:shd w:val="clear" w:color="auto" w:fill="auto"/>
            <w:noWrap/>
            <w:vAlign w:val="bottom"/>
            <w:hideMark/>
          </w:tcPr>
          <w:p w14:paraId="77EB4E4C" w14:textId="77777777" w:rsidR="00270B6C" w:rsidRPr="00270B6C" w:rsidRDefault="00270B6C" w:rsidP="00270B6C">
            <w:pPr>
              <w:spacing w:before="0" w:after="0" w:line="240" w:lineRule="auto"/>
              <w:jc w:val="right"/>
              <w:rPr>
                <w:rFonts w:eastAsia="Times New Roman"/>
                <w:color w:val="000000"/>
                <w:kern w:val="0"/>
                <w14:ligatures w14:val="none"/>
              </w:rPr>
            </w:pPr>
            <w:r w:rsidRPr="00270B6C">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342C2431" w14:textId="77777777" w:rsidR="00FB0989" w:rsidRPr="00333925" w:rsidRDefault="00FB0989" w:rsidP="00FB0989">
      <w:pPr>
        <w:spacing w:after="240"/>
      </w:pPr>
      <w:r w:rsidRPr="00DC5EBA">
        <w:t>Specifically, the purpose of this policy and these procedures is to ensure adherence to</w:t>
      </w:r>
      <w:r w:rsidRPr="00333925">
        <w:t xml:space="preserve"> the provision of DeafBlind Services for customers who are blind and have a secondary disability of a hearing </w:t>
      </w:r>
      <w:r>
        <w:t>loss</w:t>
      </w:r>
      <w:r w:rsidRPr="00333925">
        <w:t>.</w:t>
      </w:r>
    </w:p>
    <w:p w14:paraId="077D4BD0" w14:textId="0E0D9B4E" w:rsidR="00F04098" w:rsidRDefault="00A001F3" w:rsidP="0033181C">
      <w:pPr>
        <w:pStyle w:val="Heading2"/>
      </w:pPr>
      <w:r>
        <w:t>DEFINITIONS</w:t>
      </w:r>
    </w:p>
    <w:p w14:paraId="6711BE7C" w14:textId="77777777" w:rsidR="00FB0989" w:rsidRDefault="00FB0989" w:rsidP="00FB0989">
      <w:pPr>
        <w:rPr>
          <w:u w:val="single"/>
        </w:rPr>
      </w:pPr>
      <w:r>
        <w:rPr>
          <w:u w:val="single"/>
        </w:rPr>
        <w:t>A</w:t>
      </w:r>
      <w:r w:rsidRPr="008074CB">
        <w:rPr>
          <w:u w:val="single"/>
        </w:rPr>
        <w:t xml:space="preserve">udiological </w:t>
      </w:r>
      <w:r>
        <w:rPr>
          <w:u w:val="single"/>
        </w:rPr>
        <w:t>E</w:t>
      </w:r>
      <w:r w:rsidRPr="008074CB">
        <w:rPr>
          <w:u w:val="single"/>
        </w:rPr>
        <w:t>valuation</w:t>
      </w:r>
      <w:r w:rsidRPr="008074CB">
        <w:t xml:space="preserve">: </w:t>
      </w:r>
      <w:r>
        <w:rPr>
          <w:rStyle w:val="ui-provider"/>
        </w:rPr>
        <w:t>An audiological evaluation is a series of tests administered by an audiologist that is used to determine the type, degree, and configuration of hearing loss.</w:t>
      </w:r>
    </w:p>
    <w:p w14:paraId="2EC58406" w14:textId="77777777" w:rsidR="00FB0989" w:rsidRDefault="00FB0989" w:rsidP="00FB0989">
      <w:pPr>
        <w:rPr>
          <w:b/>
          <w:bCs/>
        </w:rPr>
      </w:pPr>
      <w:r w:rsidRPr="000F659E">
        <w:rPr>
          <w:u w:val="single"/>
        </w:rPr>
        <w:t>Blind</w:t>
      </w:r>
      <w:r w:rsidRPr="000F659E">
        <w:t xml:space="preserve">: </w:t>
      </w:r>
      <w:r w:rsidRPr="00556AD3">
        <w:t xml:space="preserve">A </w:t>
      </w:r>
      <w:r w:rsidRPr="000F659E">
        <w:t>visual acuity with best correction of 20/200 or less in the better eye; a visual field of 20 degrees or less; or a combination of both.</w:t>
      </w:r>
      <w:r w:rsidRPr="000F659E">
        <w:rPr>
          <w:b/>
          <w:bCs/>
        </w:rPr>
        <w:t> </w:t>
      </w:r>
    </w:p>
    <w:p w14:paraId="6A66A003" w14:textId="77777777" w:rsidR="00FB0989" w:rsidRPr="00CB419F" w:rsidRDefault="00FB0989" w:rsidP="00FB0989">
      <w:r w:rsidRPr="00CB419F">
        <w:rPr>
          <w:u w:val="single"/>
        </w:rPr>
        <w:t>Communication Cards</w:t>
      </w:r>
      <w:r w:rsidRPr="00CB419F">
        <w:t>:</w:t>
      </w:r>
      <w:r>
        <w:t xml:space="preserve"> Low-tech or no-tech tool that helps a person who DeafBlind communicate their needs or ask for assistance.</w:t>
      </w:r>
    </w:p>
    <w:p w14:paraId="7E157804" w14:textId="77777777" w:rsidR="00FB0989" w:rsidRDefault="00FB0989" w:rsidP="00FB0989">
      <w:r w:rsidRPr="00734BE9">
        <w:rPr>
          <w:u w:val="single"/>
        </w:rPr>
        <w:t>DeafBlind</w:t>
      </w:r>
      <w:r w:rsidRPr="00734BE9">
        <w:t>: A person is DeafBlind if the person has a visual impairment or eye condition that will lead to blindness, and the person’s hearing loss is medically documented or suspected, or if the person is functioning as a person who is DeafBlind.</w:t>
      </w:r>
    </w:p>
    <w:p w14:paraId="18AA24FF" w14:textId="77777777" w:rsidR="00FB0989" w:rsidRDefault="00FB0989" w:rsidP="00FB0989">
      <w:pPr>
        <w:rPr>
          <w:u w:val="single"/>
        </w:rPr>
      </w:pPr>
      <w:bookmarkStart w:id="0" w:name="_Hlk165468754"/>
      <w:r w:rsidRPr="008E410C">
        <w:rPr>
          <w:u w:val="single"/>
        </w:rPr>
        <w:t>Informed Choice</w:t>
      </w:r>
      <w:r>
        <w:t xml:space="preserve">: </w:t>
      </w:r>
      <w:r w:rsidRPr="000A77D5">
        <w:t xml:space="preserve">The means by which a customer chooses their rehabilitation path, from options based on their needs and circumstances and the </w:t>
      </w:r>
      <w:r>
        <w:t>TWC-VR</w:t>
      </w:r>
      <w:r w:rsidRPr="000A77D5">
        <w:t xml:space="preserve"> rules</w:t>
      </w:r>
      <w:r>
        <w:t>,</w:t>
      </w:r>
      <w:r w:rsidRPr="000A77D5">
        <w:t xml:space="preserve"> </w:t>
      </w:r>
      <w:r>
        <w:t>as it relates to choosing DeafBlind services and the providers of those services.</w:t>
      </w:r>
      <w:bookmarkEnd w:id="0"/>
    </w:p>
    <w:p w14:paraId="525A01B5" w14:textId="77777777" w:rsidR="00FB0989" w:rsidRPr="000F659E" w:rsidRDefault="00FB0989" w:rsidP="00FB0989">
      <w:pPr>
        <w:rPr>
          <w:b/>
          <w:bCs/>
          <w:lang w:val="en"/>
        </w:rPr>
      </w:pPr>
      <w:r w:rsidRPr="000F659E">
        <w:rPr>
          <w:u w:val="single"/>
        </w:rPr>
        <w:t>Low Vision</w:t>
      </w:r>
      <w:r w:rsidRPr="000F659E">
        <w:t xml:space="preserve">: </w:t>
      </w:r>
      <w:r w:rsidRPr="00556AD3">
        <w:t xml:space="preserve">A </w:t>
      </w:r>
      <w:r w:rsidRPr="000F659E">
        <w:t>visual acuity with best correction of 20/70 or less in the better eye; a visual field of 30 degrees or less in the better eye; or a combination of both.</w:t>
      </w:r>
    </w:p>
    <w:p w14:paraId="620069FF" w14:textId="77777777" w:rsidR="00FB0989" w:rsidRPr="001C2EC1" w:rsidRDefault="00FB0989" w:rsidP="00FB0989">
      <w:r w:rsidRPr="000F659E">
        <w:rPr>
          <w:u w:val="single"/>
        </w:rPr>
        <w:t>Significant Visual Impairment:</w:t>
      </w:r>
      <w:r w:rsidRPr="000F659E">
        <w:rPr>
          <w:b/>
          <w:bCs/>
        </w:rPr>
        <w:t xml:space="preserve"> </w:t>
      </w:r>
      <w:r w:rsidRPr="000F659E">
        <w:t>A disease or condition of the eye that does not meet the definitions of Blind or Low Vision but does create a significant impediment to employment and cannot be corrected with glasses or contact lenses.</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582CC62C" w14:textId="213954CD" w:rsidR="00FB0989" w:rsidRPr="008074CB" w:rsidRDefault="00FB0989" w:rsidP="00FB0989">
      <w:r>
        <w:rPr>
          <w:rStyle w:val="ui-provider"/>
        </w:rPr>
        <w:t>TWC-VR ensures that customers who are blind or visually impaired (BVI) and have a secondary disability of hearing loss can access evaluations, training, goods, and services customized and accessible to meet their needs. TWC-VR provides services</w:t>
      </w:r>
      <w:r w:rsidR="00F924C1">
        <w:rPr>
          <w:rStyle w:val="ui-provider"/>
        </w:rPr>
        <w:t xml:space="preserve"> directly</w:t>
      </w:r>
      <w:r>
        <w:rPr>
          <w:rStyle w:val="ui-provider"/>
        </w:rPr>
        <w:t xml:space="preserve"> (i.e., in-house) and can purchase services and goods from approved contracted providers. DeafBlind services help customers become </w:t>
      </w:r>
      <w:r w:rsidRPr="00E629CD">
        <w:t xml:space="preserve">confident and independent in accessing or improving communication and obtaining information. These services aid integration into work and community. </w:t>
      </w:r>
    </w:p>
    <w:p w14:paraId="48BB7C39" w14:textId="77777777" w:rsidR="00FB0989" w:rsidRPr="008074CB" w:rsidRDefault="00FB0989" w:rsidP="00FB0989">
      <w:r w:rsidRPr="00E629CD">
        <w:t>Key components of DeafBlind services include</w:t>
      </w:r>
      <w:r>
        <w:t xml:space="preserve"> the following</w:t>
      </w:r>
      <w:r w:rsidRPr="00E629CD">
        <w:t>:</w:t>
      </w:r>
    </w:p>
    <w:p w14:paraId="5B99624F" w14:textId="77777777" w:rsidR="00FB0989" w:rsidRPr="00495738" w:rsidRDefault="00FB0989" w:rsidP="00FB0989">
      <w:pPr>
        <w:pStyle w:val="ListBulleted"/>
      </w:pPr>
      <w:r w:rsidRPr="008074CB">
        <w:rPr>
          <w:u w:val="single"/>
        </w:rPr>
        <w:t>Referral</w:t>
      </w:r>
      <w:r>
        <w:t>:</w:t>
      </w:r>
      <w:r w:rsidRPr="009F60D0">
        <w:t xml:space="preserve"> A </w:t>
      </w:r>
      <w:r>
        <w:t>VR Counselor</w:t>
      </w:r>
      <w:r w:rsidRPr="009F60D0">
        <w:t xml:space="preserve"> must refer BVI customers who have a documented or suspected hearing loss to the </w:t>
      </w:r>
      <w:r>
        <w:t>R</w:t>
      </w:r>
      <w:r w:rsidRPr="009F60D0">
        <w:t xml:space="preserve">egional DeafBlind </w:t>
      </w:r>
      <w:r>
        <w:t>S</w:t>
      </w:r>
      <w:r w:rsidRPr="009F60D0">
        <w:t xml:space="preserve">pecialist for evaluation before scheduling audiological or hearing-aid evaluations. </w:t>
      </w:r>
    </w:p>
    <w:p w14:paraId="265D551B" w14:textId="77777777" w:rsidR="00FB0989" w:rsidRPr="008074CB" w:rsidRDefault="00FB0989" w:rsidP="00FB0989">
      <w:pPr>
        <w:pStyle w:val="ListBulleted"/>
      </w:pPr>
      <w:r w:rsidRPr="008074CB">
        <w:rPr>
          <w:u w:val="single"/>
        </w:rPr>
        <w:t>Initial Assessment</w:t>
      </w:r>
      <w:r>
        <w:t xml:space="preserve">: </w:t>
      </w:r>
      <w:r w:rsidRPr="009F60D0">
        <w:t xml:space="preserve">The </w:t>
      </w:r>
      <w:r>
        <w:t>R</w:t>
      </w:r>
      <w:r w:rsidRPr="009F60D0">
        <w:t xml:space="preserve">egional DeafBlind </w:t>
      </w:r>
      <w:r>
        <w:t>S</w:t>
      </w:r>
      <w:r w:rsidRPr="009F60D0">
        <w:t xml:space="preserve">pecialist provides </w:t>
      </w:r>
      <w:r>
        <w:t>an</w:t>
      </w:r>
      <w:r w:rsidRPr="009F60D0">
        <w:t xml:space="preserve"> </w:t>
      </w:r>
      <w:r>
        <w:t xml:space="preserve">initial </w:t>
      </w:r>
      <w:r w:rsidRPr="009F60D0">
        <w:t>assessment</w:t>
      </w:r>
      <w:r>
        <w:t xml:space="preserve"> to identify the customer’s potential training needs and to make recommendations for audiological and hearing evaluations</w:t>
      </w:r>
      <w:r w:rsidRPr="009F60D0">
        <w:t>. The assessment report includes evaluation results and makes recommendations for DeafBlind Services (</w:t>
      </w:r>
      <w:r>
        <w:t xml:space="preserve">e.g., </w:t>
      </w:r>
      <w:r w:rsidRPr="009F60D0">
        <w:t xml:space="preserve">community resources, equipment and assistive technology and adaptive technology). A </w:t>
      </w:r>
      <w:r>
        <w:t>VR Counselor</w:t>
      </w:r>
      <w:r w:rsidRPr="009F60D0">
        <w:t xml:space="preserve"> uses the assessment report to develop the </w:t>
      </w:r>
      <w:r>
        <w:t>I</w:t>
      </w:r>
      <w:r w:rsidRPr="009F60D0">
        <w:t xml:space="preserve">ndividualized </w:t>
      </w:r>
      <w:r>
        <w:t>P</w:t>
      </w:r>
      <w:r w:rsidRPr="009F60D0">
        <w:t xml:space="preserve">lan for </w:t>
      </w:r>
      <w:r>
        <w:t>E</w:t>
      </w:r>
      <w:r w:rsidRPr="009F60D0">
        <w:t xml:space="preserve">mployment </w:t>
      </w:r>
      <w:r>
        <w:t>(</w:t>
      </w:r>
      <w:r w:rsidRPr="009F60D0">
        <w:t>IPE</w:t>
      </w:r>
      <w:r>
        <w:t>)</w:t>
      </w:r>
      <w:r w:rsidRPr="009F60D0">
        <w:t xml:space="preserve"> with the customer.</w:t>
      </w:r>
    </w:p>
    <w:p w14:paraId="6596AF91" w14:textId="77777777" w:rsidR="00FB0989" w:rsidRPr="007C137F" w:rsidRDefault="00FB0989" w:rsidP="00FB0989">
      <w:pPr>
        <w:pStyle w:val="ListBulleted"/>
      </w:pPr>
      <w:r w:rsidRPr="008074CB">
        <w:rPr>
          <w:u w:val="single"/>
        </w:rPr>
        <w:t>Training</w:t>
      </w:r>
      <w:r w:rsidRPr="007C137F">
        <w:t xml:space="preserve">: The </w:t>
      </w:r>
      <w:bookmarkStart w:id="1" w:name="_Hlk170345964"/>
      <w:r>
        <w:t>R</w:t>
      </w:r>
      <w:r w:rsidRPr="007C137F">
        <w:t>egiona</w:t>
      </w:r>
      <w:r>
        <w:t>l</w:t>
      </w:r>
      <w:bookmarkEnd w:id="1"/>
      <w:r>
        <w:t xml:space="preserve"> </w:t>
      </w:r>
      <w:r w:rsidRPr="007C137F">
        <w:t xml:space="preserve">DeafBlind </w:t>
      </w:r>
      <w:r>
        <w:t>S</w:t>
      </w:r>
      <w:r w:rsidRPr="007C137F">
        <w:t>pecialist provides training to help the customer use adaptive equipment and identify community resources to help them with self-advocacy, and communication</w:t>
      </w:r>
      <w:r>
        <w:t xml:space="preserve"> (e.g., ASL interpreters)</w:t>
      </w:r>
      <w:r w:rsidRPr="007C137F">
        <w:t xml:space="preserve"> and helps them create communication cards. The </w:t>
      </w:r>
      <w:r>
        <w:t>Regional</w:t>
      </w:r>
      <w:r w:rsidRPr="007C137F">
        <w:t xml:space="preserve"> DeafBlind </w:t>
      </w:r>
      <w:r>
        <w:t>S</w:t>
      </w:r>
      <w:r w:rsidRPr="007C137F">
        <w:t xml:space="preserve">pecialist updates the </w:t>
      </w:r>
      <w:r>
        <w:t>VR Counselor</w:t>
      </w:r>
      <w:r w:rsidRPr="007C137F">
        <w:t xml:space="preserve"> regularly and at training completion.</w:t>
      </w:r>
    </w:p>
    <w:p w14:paraId="60DA47CF" w14:textId="319FCD6E" w:rsidR="00FB0989" w:rsidRPr="00540D21" w:rsidRDefault="00FB0989" w:rsidP="00FB0989">
      <w:pPr>
        <w:pStyle w:val="Heading3"/>
      </w:pPr>
      <w:bookmarkStart w:id="2" w:name="_Hlk162890515"/>
      <w:r w:rsidRPr="00CB419F">
        <w:t>Additional Policy Considerations</w:t>
      </w:r>
    </w:p>
    <w:p w14:paraId="3101ACE3" w14:textId="77777777" w:rsidR="00FB0989" w:rsidRDefault="00FB0989" w:rsidP="00FB0989">
      <w:pPr>
        <w:pStyle w:val="ListBulleted"/>
      </w:pPr>
      <w:r w:rsidRPr="002F3C31">
        <w:rPr>
          <w:u w:val="single"/>
        </w:rPr>
        <w:t>Comparable Services and Benefits</w:t>
      </w:r>
      <w:r w:rsidRPr="002F3C31">
        <w:t xml:space="preserve">: </w:t>
      </w:r>
      <w:bookmarkStart w:id="3" w:name="_Hlk167729699"/>
      <w:bookmarkStart w:id="4" w:name="_Hlk168906062"/>
      <w:r>
        <w:t xml:space="preserve">DeafBlind </w:t>
      </w:r>
      <w:r w:rsidRPr="002F3C31">
        <w:t>services are exempt from the requirement to secure comparable services and benefits prior to TWC-VR expending funds</w:t>
      </w:r>
      <w:bookmarkEnd w:id="3"/>
      <w:r w:rsidRPr="002F3C31">
        <w:t>.</w:t>
      </w:r>
      <w:bookmarkEnd w:id="4"/>
    </w:p>
    <w:p w14:paraId="28524E64" w14:textId="77777777" w:rsidR="00FB0989" w:rsidRPr="00CB419F" w:rsidRDefault="00FB0989" w:rsidP="00FB0989">
      <w:pPr>
        <w:pStyle w:val="ListBulleted"/>
      </w:pPr>
      <w:r w:rsidRPr="00CB419F">
        <w:rPr>
          <w:u w:val="single"/>
        </w:rPr>
        <w:t>Customer Participation in the Cost of Services</w:t>
      </w:r>
      <w:r w:rsidRPr="002F3C31">
        <w:t xml:space="preserve">: </w:t>
      </w:r>
      <w:r>
        <w:t>DeafBlind</w:t>
      </w:r>
      <w:r w:rsidRPr="002F3C31">
        <w:t xml:space="preserve"> </w:t>
      </w:r>
      <w:bookmarkStart w:id="5" w:name="_Hlk170344275"/>
      <w:bookmarkStart w:id="6" w:name="_Hlk169817564"/>
      <w:r w:rsidRPr="00CB419F">
        <w:t xml:space="preserve">services </w:t>
      </w:r>
      <w:bookmarkStart w:id="7" w:name="_Hlk167732631"/>
      <w:r w:rsidRPr="00CB419F">
        <w:t>are exempt from applying Basic Living Requirements (BLR) and, therefore, the customer is not required to participate in the cost of services.</w:t>
      </w:r>
      <w:bookmarkEnd w:id="7"/>
    </w:p>
    <w:bookmarkEnd w:id="5"/>
    <w:p w14:paraId="78962891" w14:textId="77777777" w:rsidR="00FB0989" w:rsidRPr="002930E4" w:rsidRDefault="00FB0989" w:rsidP="00FB0989">
      <w:pPr>
        <w:pStyle w:val="ListBulleted"/>
      </w:pPr>
      <w:r w:rsidRPr="00CB419F">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339F4580" w14:textId="77777777" w:rsidR="00FB0989" w:rsidRPr="002930E4" w:rsidRDefault="00FB0989" w:rsidP="00FB0989">
      <w:pPr>
        <w:pStyle w:val="ListBulleted"/>
      </w:pPr>
      <w:r w:rsidRPr="002930E4">
        <w:rPr>
          <w:u w:val="single"/>
        </w:rPr>
        <w:lastRenderedPageBreak/>
        <w:t>Exceptions to Policy</w:t>
      </w:r>
      <w:r w:rsidRPr="002930E4">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bookmarkEnd w:id="2"/>
    <w:bookmarkEnd w:id="6"/>
    <w:p w14:paraId="11E48025" w14:textId="511E42FF" w:rsidR="00934027" w:rsidRDefault="00145D80" w:rsidP="00CF06B7">
      <w:pPr>
        <w:pStyle w:val="Heading2"/>
      </w:pPr>
      <w:r>
        <w:t>PROCEDURES</w:t>
      </w:r>
    </w:p>
    <w:p w14:paraId="3BF5E84A" w14:textId="008080F6" w:rsidR="000538A8" w:rsidRDefault="00FB0989" w:rsidP="00896AC1">
      <w:pPr>
        <w:pStyle w:val="Heading3"/>
        <w:numPr>
          <w:ilvl w:val="0"/>
          <w:numId w:val="37"/>
        </w:numPr>
      </w:pPr>
      <w:r w:rsidRPr="00192326">
        <w:t>Referrals for DeafBlind Services</w:t>
      </w:r>
    </w:p>
    <w:p w14:paraId="52997D2B" w14:textId="6379D232" w:rsidR="00FB0989" w:rsidRPr="00192326" w:rsidRDefault="00FB0989" w:rsidP="00FB0989">
      <w:pPr>
        <w:autoSpaceDE w:val="0"/>
        <w:autoSpaceDN w:val="0"/>
        <w:adjustRightInd w:val="0"/>
      </w:pPr>
      <w:r w:rsidRPr="00192326">
        <w:t xml:space="preserve">The VR Counselor must contact the DeafBlind Specialist assigned to their region to discuss the needs of the customer and creates a service record. </w:t>
      </w:r>
    </w:p>
    <w:p w14:paraId="6563CBC3" w14:textId="77777777" w:rsidR="00FB0989" w:rsidRPr="00192326" w:rsidRDefault="00FB0989" w:rsidP="00FB0989">
      <w:pPr>
        <w:pStyle w:val="ListBulleted"/>
      </w:pPr>
      <w:r w:rsidRPr="00CB419F">
        <w:rPr>
          <w:rFonts w:cstheme="minorHAnsi"/>
          <w:u w:val="single"/>
        </w:rPr>
        <w:t>Assessment</w:t>
      </w:r>
      <w:r w:rsidRPr="00CB419F">
        <w:rPr>
          <w:rFonts w:cstheme="minorHAnsi"/>
        </w:rPr>
        <w:t>:</w:t>
      </w:r>
      <w:r w:rsidRPr="00192326">
        <w:t xml:space="preserve"> The DeafBlind Specialist conducts the requested assessments to determine the customer’s need, type, and duration of services and goods. Once completed, the DeafBlind Specialist sends a copy of the results to the VR Counselor, which are then included in the case record.</w:t>
      </w:r>
    </w:p>
    <w:p w14:paraId="408CDC52" w14:textId="77777777" w:rsidR="00FB0989" w:rsidRPr="00192326" w:rsidRDefault="00FB0989" w:rsidP="00FB0989">
      <w:pPr>
        <w:pStyle w:val="ListBulleted"/>
      </w:pPr>
      <w:r w:rsidRPr="00192326">
        <w:rPr>
          <w:u w:val="single"/>
        </w:rPr>
        <w:t>Secondary Disability Amendment</w:t>
      </w:r>
      <w:r w:rsidRPr="00192326">
        <w:t>: If the DeafBlind Specialist recommends that the secondary disability coding be amended to reflect the customer's sensory communicative impairment more accurately, the DeafBlind Specialist—</w:t>
      </w:r>
    </w:p>
    <w:p w14:paraId="76ECFF84" w14:textId="77777777" w:rsidR="00FB0989" w:rsidRPr="00192326" w:rsidRDefault="00FB0989" w:rsidP="00FB0989">
      <w:pPr>
        <w:pStyle w:val="ListBulleted"/>
        <w:numPr>
          <w:ilvl w:val="1"/>
          <w:numId w:val="35"/>
        </w:numPr>
      </w:pPr>
      <w:r w:rsidRPr="00192326">
        <w:t>Enters a case note to recommend that the VR Counselor change the secondary disability coding and explain the reason a change is needed; and</w:t>
      </w:r>
    </w:p>
    <w:p w14:paraId="7D1360F6" w14:textId="77777777" w:rsidR="00FB0989" w:rsidRPr="00192326" w:rsidRDefault="00FB0989" w:rsidP="00FB0989">
      <w:pPr>
        <w:pStyle w:val="ListBulleted"/>
        <w:numPr>
          <w:ilvl w:val="1"/>
          <w:numId w:val="35"/>
        </w:numPr>
      </w:pPr>
      <w:r w:rsidRPr="00192326">
        <w:t>Creates an action and delegates it to the VR Counselor to alert them to the case note which recommends that the secondary disability coding be changed.</w:t>
      </w:r>
    </w:p>
    <w:p w14:paraId="04947365" w14:textId="77777777" w:rsidR="00FB0989" w:rsidRDefault="00FB0989" w:rsidP="00FB0989">
      <w:pPr>
        <w:pStyle w:val="Heading3"/>
      </w:pPr>
      <w:r w:rsidRPr="00192326">
        <w:t>IPE Requirements</w:t>
      </w:r>
    </w:p>
    <w:p w14:paraId="6B7BC0DD" w14:textId="20DACA6D" w:rsidR="00FB0989" w:rsidRPr="00192326" w:rsidRDefault="00FB0989" w:rsidP="00FB0989">
      <w:pPr>
        <w:autoSpaceDE w:val="0"/>
        <w:autoSpaceDN w:val="0"/>
        <w:adjustRightInd w:val="0"/>
      </w:pPr>
      <w:r w:rsidRPr="00192326">
        <w:t>After the VR Counselor and the customer agree that DeafBlind services are needed, the specific services are included in the IPE or IPE amendment. DeafBlind Services includes all DeafBlind services, equipment, and devices recommended by the DeafBlind Specialist.</w:t>
      </w:r>
    </w:p>
    <w:p w14:paraId="05A2D619" w14:textId="77777777" w:rsidR="00FB0989" w:rsidRPr="00192326" w:rsidRDefault="00FB0989" w:rsidP="00FB0989">
      <w:r w:rsidRPr="00192326">
        <w:t>The case record must include the results of the DeafBlind assessment and recommendations</w:t>
      </w:r>
      <w:r>
        <w:t>.</w:t>
      </w:r>
    </w:p>
    <w:p w14:paraId="11E30A22" w14:textId="77777777" w:rsidR="00FB0989" w:rsidRDefault="00FB0989" w:rsidP="00FB0989">
      <w:pPr>
        <w:pStyle w:val="Heading3"/>
      </w:pPr>
      <w:r w:rsidRPr="00192326">
        <w:t>Completion of DeafBlind Services</w:t>
      </w:r>
    </w:p>
    <w:p w14:paraId="52FC41A4" w14:textId="60435364" w:rsidR="00FB0989" w:rsidRPr="00192326" w:rsidRDefault="00FB0989" w:rsidP="00FB0989">
      <w:pPr>
        <w:autoSpaceDE w:val="0"/>
        <w:autoSpaceDN w:val="0"/>
        <w:adjustRightInd w:val="0"/>
      </w:pPr>
      <w:r w:rsidRPr="00192326">
        <w:t>The DeafBlind Specialist closes the RHW service record when services are complete or no longer desired, but DeafBlind specialists may provide limited courtesy services to help a customer maintain independence. These services are documented in the case notes, as applicable.</w:t>
      </w:r>
    </w:p>
    <w:p w14:paraId="424771A3" w14:textId="5817096D" w:rsidR="00145D80" w:rsidRDefault="009033A9" w:rsidP="00DF5CB7">
      <w:pPr>
        <w:pStyle w:val="Heading2"/>
      </w:pPr>
      <w:r>
        <w:lastRenderedPageBreak/>
        <w:t>APPROVALS &amp; CONSULTATIONS</w:t>
      </w:r>
    </w:p>
    <w:p w14:paraId="3018B412" w14:textId="78B8EA08" w:rsidR="009033A9" w:rsidRPr="00E57035" w:rsidRDefault="00A70A57" w:rsidP="00FB0989">
      <w:r w:rsidRPr="00E57035">
        <w:t>There are no approvals or consultations for this policy and these procedures</w:t>
      </w:r>
      <w:r w:rsidR="00133CB2" w:rsidRPr="00E57035">
        <w:t>.</w:t>
      </w:r>
    </w:p>
    <w:p w14:paraId="36F7EF0F" w14:textId="77777777" w:rsidR="00C125A1" w:rsidRPr="004D02B9" w:rsidRDefault="00C125A1" w:rsidP="00C125A1">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609AE77E" w14:textId="77777777" w:rsidR="00C125A1" w:rsidRPr="009D5287" w:rsidRDefault="00C125A1" w:rsidP="00C125A1">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35"/>
        <w:gridCol w:w="7042"/>
      </w:tblGrid>
      <w:tr w:rsidR="00C125A1" w:rsidRPr="009D5287" w14:paraId="49EB257F" w14:textId="77777777" w:rsidTr="009E3FCC">
        <w:trPr>
          <w:trHeight w:val="636"/>
        </w:trPr>
        <w:tc>
          <w:tcPr>
            <w:tcW w:w="1886" w:type="dxa"/>
            <w:shd w:val="clear" w:color="auto" w:fill="F0F4FA" w:themeFill="accent4"/>
            <w:vAlign w:val="center"/>
          </w:tcPr>
          <w:p w14:paraId="31AFACD5" w14:textId="77777777" w:rsidR="00C125A1" w:rsidRPr="009D5287" w:rsidRDefault="00C125A1"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3B863BF9" w14:textId="77777777" w:rsidR="00C125A1" w:rsidRPr="009D5287" w:rsidRDefault="00C125A1" w:rsidP="009E3FCC">
            <w:pPr>
              <w:rPr>
                <w:b/>
                <w:lang w:val="en" w:eastAsia="ja-JP"/>
              </w:rPr>
            </w:pPr>
            <w:r w:rsidRPr="009D5287">
              <w:rPr>
                <w:b/>
                <w:lang w:val="en" w:eastAsia="ja-JP"/>
              </w:rPr>
              <w:t>Type</w:t>
            </w:r>
          </w:p>
        </w:tc>
        <w:tc>
          <w:tcPr>
            <w:tcW w:w="7042" w:type="dxa"/>
            <w:shd w:val="clear" w:color="auto" w:fill="F0F4FA" w:themeFill="accent4"/>
            <w:vAlign w:val="center"/>
          </w:tcPr>
          <w:p w14:paraId="27B79C12" w14:textId="77777777" w:rsidR="00C125A1" w:rsidRPr="009D5287" w:rsidRDefault="00C125A1" w:rsidP="009E3FCC">
            <w:pPr>
              <w:rPr>
                <w:b/>
                <w:lang w:val="en" w:eastAsia="ja-JP"/>
              </w:rPr>
            </w:pPr>
            <w:r w:rsidRPr="009D5287">
              <w:rPr>
                <w:b/>
                <w:lang w:val="en" w:eastAsia="ja-JP"/>
              </w:rPr>
              <w:t>Change Description</w:t>
            </w:r>
          </w:p>
        </w:tc>
      </w:tr>
      <w:tr w:rsidR="00C125A1" w:rsidRPr="009D5287" w14:paraId="6B585BE6" w14:textId="77777777" w:rsidTr="009E3FCC">
        <w:trPr>
          <w:trHeight w:val="619"/>
        </w:trPr>
        <w:tc>
          <w:tcPr>
            <w:tcW w:w="1886" w:type="dxa"/>
          </w:tcPr>
          <w:p w14:paraId="5D0A5380" w14:textId="77777777" w:rsidR="00C125A1" w:rsidRPr="009D5287" w:rsidRDefault="00C125A1"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70323196" w14:textId="77777777" w:rsidR="00C125A1" w:rsidRPr="009D5287" w:rsidRDefault="00C125A1" w:rsidP="009E3FCC">
            <w:r w:rsidRPr="009D5287">
              <w:t>New</w:t>
            </w:r>
          </w:p>
        </w:tc>
        <w:tc>
          <w:tcPr>
            <w:tcW w:w="7042" w:type="dxa"/>
          </w:tcPr>
          <w:p w14:paraId="50A52A66" w14:textId="77777777" w:rsidR="00C125A1" w:rsidRPr="009D5287" w:rsidRDefault="00C125A1" w:rsidP="009E3FCC">
            <w:pPr>
              <w:rPr>
                <w:lang w:val="en" w:eastAsia="ja-JP"/>
              </w:rPr>
            </w:pPr>
            <w:r w:rsidRPr="009D5287">
              <w:t>VRSM Policy and Procedure Rewrite</w:t>
            </w:r>
          </w:p>
        </w:tc>
      </w:tr>
    </w:tbl>
    <w:p w14:paraId="5EB73B5E" w14:textId="2FB19B67" w:rsidR="001901F0" w:rsidRPr="00E57035" w:rsidRDefault="001901F0" w:rsidP="00895186">
      <w:pPr>
        <w:rPr>
          <w:color w:val="C00000"/>
        </w:rPr>
      </w:pPr>
    </w:p>
    <w:sectPr w:rsidR="001901F0" w:rsidRPr="00E57035" w:rsidSect="00F82376">
      <w:headerReference w:type="default" r:id="rId10"/>
      <w:footerReference w:type="default" r:id="rId11"/>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1561" w14:textId="77777777" w:rsidR="00C465D7" w:rsidRDefault="00C465D7" w:rsidP="00895186">
      <w:r>
        <w:separator/>
      </w:r>
    </w:p>
  </w:endnote>
  <w:endnote w:type="continuationSeparator" w:id="0">
    <w:p w14:paraId="19300099" w14:textId="77777777" w:rsidR="00C465D7" w:rsidRDefault="00C465D7"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71C2B45" w:rsidR="00B24E6C" w:rsidRDefault="00FB0989" w:rsidP="00895186">
    <w:pPr>
      <w:pStyle w:val="Footer"/>
    </w:pPr>
    <w:r>
      <w:rPr>
        <w:noProof/>
      </w:rPr>
      <mc:AlternateContent>
        <mc:Choice Requires="wps">
          <w:drawing>
            <wp:anchor distT="0" distB="0" distL="114300" distR="114300" simplePos="0" relativeHeight="251661312" behindDoc="0" locked="0" layoutInCell="1" allowOverlap="1" wp14:anchorId="00B0B3F3" wp14:editId="133ECA91">
              <wp:simplePos x="0" y="0"/>
              <wp:positionH relativeFrom="column">
                <wp:posOffset>-377190</wp:posOffset>
              </wp:positionH>
              <wp:positionV relativeFrom="paragraph">
                <wp:posOffset>6350</wp:posOffset>
              </wp:positionV>
              <wp:extent cx="367919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679190" cy="488950"/>
                      </a:xfrm>
                      <a:prstGeom prst="rect">
                        <a:avLst/>
                      </a:prstGeom>
                      <a:noFill/>
                      <a:ln w="6350">
                        <a:noFill/>
                      </a:ln>
                    </wps:spPr>
                    <wps:txbx>
                      <w:txbxContent>
                        <w:p w14:paraId="25686EF3" w14:textId="47CB1887" w:rsidR="00501E08" w:rsidRPr="00501E08" w:rsidRDefault="00FB0989" w:rsidP="00895186">
                          <w:r>
                            <w:t>Part C, Chapter 6.3: DeafBlind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289.7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" filled="f" stroked="f" strokeweight=".5pt">
              <v:textbox>
                <w:txbxContent>
                  <w:p w14:paraId="25686EF3" w14:textId="47CB1887" w:rsidR="00501E08" w:rsidRPr="00501E08" w:rsidRDefault="00FB0989" w:rsidP="00895186">
                    <w:r>
                      <w:t>Part C, Chapter 6.3: DeafBlind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5627086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1A34" w14:textId="77777777" w:rsidR="00C465D7" w:rsidRDefault="00C465D7" w:rsidP="00895186">
      <w:r>
        <w:separator/>
      </w:r>
    </w:p>
  </w:footnote>
  <w:footnote w:type="continuationSeparator" w:id="0">
    <w:p w14:paraId="3B335E58" w14:textId="77777777" w:rsidR="00C465D7" w:rsidRDefault="00C465D7"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0459C"/>
    <w:multiLevelType w:val="hybridMultilevel"/>
    <w:tmpl w:val="27BA8C2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4"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5"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D1B7272"/>
    <w:multiLevelType w:val="multilevel"/>
    <w:tmpl w:val="483487E4"/>
    <w:lvl w:ilvl="0">
      <w:start w:val="1"/>
      <w:numFmt w:val="upperLetter"/>
      <w:lvlText w:val="%1."/>
      <w:lvlJc w:val="left"/>
      <w:pPr>
        <w:ind w:left="504" w:hanging="360"/>
      </w:pPr>
      <w:rPr>
        <w:rFonts w:hint="default"/>
        <w:b w:val="0"/>
        <w:i w:val="0"/>
        <w:sz w:val="24"/>
      </w:rPr>
    </w:lvl>
    <w:lvl w:ilvl="1">
      <w:start w:val="1"/>
      <w:numFmt w:val="bullet"/>
      <w:lvlText w:val=""/>
      <w:lvlJc w:val="left"/>
      <w:pPr>
        <w:ind w:left="1152" w:hanging="360"/>
      </w:pPr>
      <w:rPr>
        <w:rFonts w:ascii="Symbol" w:hAnsi="Symbol" w:hint="default"/>
        <w:b w:val="0"/>
        <w:i w:val="0"/>
        <w:sz w:val="24"/>
        <w:u w:val="none"/>
      </w:rPr>
    </w:lvl>
    <w:lvl w:ilvl="2">
      <w:start w:val="1"/>
      <w:numFmt w:val="bullet"/>
      <w:lvlText w:val="o"/>
      <w:lvlJc w:val="left"/>
      <w:pPr>
        <w:ind w:left="1872" w:hanging="360"/>
      </w:pPr>
      <w:rPr>
        <w:rFonts w:ascii="Courier New" w:hAnsi="Courier New"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32"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064D56"/>
    <w:multiLevelType w:val="hybridMultilevel"/>
    <w:tmpl w:val="366E7544"/>
    <w:lvl w:ilvl="0" w:tplc="FFFFFFFF">
      <w:start w:val="1"/>
      <w:numFmt w:val="upperLetter"/>
      <w:lvlText w:val="%1."/>
      <w:lvlJc w:val="left"/>
      <w:pPr>
        <w:ind w:left="504" w:hanging="360"/>
      </w:pPr>
      <w:rPr>
        <w:rFonts w:hint="default"/>
        <w:b w:val="0"/>
        <w:bCs w:val="0"/>
      </w:rPr>
    </w:lvl>
    <w:lvl w:ilvl="1" w:tplc="04090003">
      <w:start w:val="1"/>
      <w:numFmt w:val="bullet"/>
      <w:lvlText w:val="o"/>
      <w:lvlJc w:val="left"/>
      <w:pPr>
        <w:ind w:left="1152" w:hanging="360"/>
      </w:pPr>
      <w:rPr>
        <w:rFonts w:ascii="Courier New" w:hAnsi="Courier New" w:cs="Courier New"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6"/>
  </w:num>
  <w:num w:numId="4" w16cid:durableId="109056539">
    <w:abstractNumId w:val="29"/>
  </w:num>
  <w:num w:numId="5" w16cid:durableId="1893686843">
    <w:abstractNumId w:val="21"/>
  </w:num>
  <w:num w:numId="6" w16cid:durableId="760954600">
    <w:abstractNumId w:val="24"/>
  </w:num>
  <w:num w:numId="7" w16cid:durableId="1429428784">
    <w:abstractNumId w:val="13"/>
  </w:num>
  <w:num w:numId="8" w16cid:durableId="436485834">
    <w:abstractNumId w:val="8"/>
  </w:num>
  <w:num w:numId="9" w16cid:durableId="127362230">
    <w:abstractNumId w:val="5"/>
  </w:num>
  <w:num w:numId="10" w16cid:durableId="1604805518">
    <w:abstractNumId w:val="6"/>
  </w:num>
  <w:num w:numId="11" w16cid:durableId="1256401764">
    <w:abstractNumId w:val="25"/>
  </w:num>
  <w:num w:numId="12" w16cid:durableId="1548175440">
    <w:abstractNumId w:val="30"/>
  </w:num>
  <w:num w:numId="13" w16cid:durableId="975644156">
    <w:abstractNumId w:val="7"/>
  </w:num>
  <w:num w:numId="14" w16cid:durableId="2099713293">
    <w:abstractNumId w:val="18"/>
  </w:num>
  <w:num w:numId="15" w16cid:durableId="1594316770">
    <w:abstractNumId w:val="22"/>
  </w:num>
  <w:num w:numId="16" w16cid:durableId="700741873">
    <w:abstractNumId w:val="27"/>
  </w:num>
  <w:num w:numId="17" w16cid:durableId="1651835230">
    <w:abstractNumId w:val="17"/>
  </w:num>
  <w:num w:numId="18" w16cid:durableId="883299119">
    <w:abstractNumId w:val="28"/>
  </w:num>
  <w:num w:numId="19" w16cid:durableId="84305632">
    <w:abstractNumId w:val="12"/>
  </w:num>
  <w:num w:numId="20" w16cid:durableId="1057705478">
    <w:abstractNumId w:val="33"/>
  </w:num>
  <w:num w:numId="21" w16cid:durableId="96758055">
    <w:abstractNumId w:val="23"/>
  </w:num>
  <w:num w:numId="22" w16cid:durableId="722797963">
    <w:abstractNumId w:val="9"/>
  </w:num>
  <w:num w:numId="23" w16cid:durableId="1638485069">
    <w:abstractNumId w:val="15"/>
  </w:num>
  <w:num w:numId="24" w16cid:durableId="1439984590">
    <w:abstractNumId w:val="33"/>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2"/>
  </w:num>
  <w:num w:numId="29" w16cid:durableId="1268929695">
    <w:abstractNumId w:val="14"/>
    <w:lvlOverride w:ilvl="0">
      <w:startOverride w:val="1"/>
    </w:lvlOverride>
  </w:num>
  <w:num w:numId="30" w16cid:durableId="1510757688">
    <w:abstractNumId w:val="14"/>
  </w:num>
  <w:num w:numId="31" w16cid:durableId="1760524021">
    <w:abstractNumId w:val="35"/>
  </w:num>
  <w:num w:numId="32" w16cid:durableId="191573243">
    <w:abstractNumId w:val="26"/>
  </w:num>
  <w:num w:numId="33" w16cid:durableId="718751240">
    <w:abstractNumId w:val="4"/>
  </w:num>
  <w:num w:numId="34" w16cid:durableId="1367289556">
    <w:abstractNumId w:val="19"/>
  </w:num>
  <w:num w:numId="35" w16cid:durableId="1934777624">
    <w:abstractNumId w:val="11"/>
  </w:num>
  <w:num w:numId="36" w16cid:durableId="1647272484">
    <w:abstractNumId w:val="32"/>
  </w:num>
  <w:num w:numId="37" w16cid:durableId="1327826153">
    <w:abstractNumId w:val="14"/>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2807033">
    <w:abstractNumId w:val="31"/>
  </w:num>
  <w:num w:numId="40" w16cid:durableId="989089670">
    <w:abstractNumId w:val="3"/>
  </w:num>
  <w:num w:numId="41" w16cid:durableId="4809308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24DDB"/>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10B8B"/>
    <w:rsid w:val="002126C8"/>
    <w:rsid w:val="002234C6"/>
    <w:rsid w:val="00224B5C"/>
    <w:rsid w:val="0022624A"/>
    <w:rsid w:val="002373C8"/>
    <w:rsid w:val="00237F40"/>
    <w:rsid w:val="00251BEF"/>
    <w:rsid w:val="00253721"/>
    <w:rsid w:val="00270B6C"/>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D6F18"/>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4DE0"/>
    <w:rsid w:val="00AD6C5A"/>
    <w:rsid w:val="00AE3E47"/>
    <w:rsid w:val="00AF2E87"/>
    <w:rsid w:val="00B01FA6"/>
    <w:rsid w:val="00B23B90"/>
    <w:rsid w:val="00B24E6C"/>
    <w:rsid w:val="00B25599"/>
    <w:rsid w:val="00B4029A"/>
    <w:rsid w:val="00B43879"/>
    <w:rsid w:val="00B51052"/>
    <w:rsid w:val="00B53ADD"/>
    <w:rsid w:val="00B63DC8"/>
    <w:rsid w:val="00B83A23"/>
    <w:rsid w:val="00BA2C02"/>
    <w:rsid w:val="00BB1B54"/>
    <w:rsid w:val="00C125A1"/>
    <w:rsid w:val="00C179E1"/>
    <w:rsid w:val="00C352AB"/>
    <w:rsid w:val="00C465D7"/>
    <w:rsid w:val="00C52486"/>
    <w:rsid w:val="00C57B6D"/>
    <w:rsid w:val="00C71AE5"/>
    <w:rsid w:val="00C759E8"/>
    <w:rsid w:val="00C75B7A"/>
    <w:rsid w:val="00C828B1"/>
    <w:rsid w:val="00CA6FBB"/>
    <w:rsid w:val="00CB2389"/>
    <w:rsid w:val="00CB3FD2"/>
    <w:rsid w:val="00CB5436"/>
    <w:rsid w:val="00CD68B6"/>
    <w:rsid w:val="00CE2F20"/>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C7C0C"/>
    <w:rsid w:val="00DD6773"/>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B5AFA"/>
    <w:rsid w:val="00EF55C3"/>
    <w:rsid w:val="00F01C9E"/>
    <w:rsid w:val="00F0306B"/>
    <w:rsid w:val="00F04098"/>
    <w:rsid w:val="00F1048D"/>
    <w:rsid w:val="00F21255"/>
    <w:rsid w:val="00F54EFD"/>
    <w:rsid w:val="00F5573C"/>
    <w:rsid w:val="00F615A4"/>
    <w:rsid w:val="00F63D84"/>
    <w:rsid w:val="00F82376"/>
    <w:rsid w:val="00F924C1"/>
    <w:rsid w:val="00FA3AD4"/>
    <w:rsid w:val="00FB0989"/>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989"/>
    <w:rPr>
      <w:sz w:val="16"/>
      <w:szCs w:val="16"/>
    </w:rPr>
  </w:style>
  <w:style w:type="paragraph" w:styleId="CommentText">
    <w:name w:val="annotation text"/>
    <w:basedOn w:val="Normal"/>
    <w:link w:val="CommentTextChar"/>
    <w:uiPriority w:val="99"/>
    <w:unhideWhenUsed/>
    <w:rsid w:val="00FB0989"/>
    <w:pPr>
      <w:autoSpaceDE w:val="0"/>
      <w:autoSpaceDN w:val="0"/>
      <w:adjustRightInd w:val="0"/>
    </w:pPr>
    <w:rPr>
      <w:rFonts w:eastAsia="Times New Roman" w:cstheme="minorHAnsi"/>
      <w:color w:val="000000"/>
      <w:kern w:val="0"/>
      <w:sz w:val="20"/>
      <w:szCs w:val="20"/>
      <w14:ligatures w14:val="none"/>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customStyle="1" w:styleId="ui-provider">
    <w:name w:val="ui-provider"/>
    <w:basedOn w:val="DefaultParagraphFont"/>
    <w:rsid w:val="00FB0989"/>
  </w:style>
  <w:style w:type="character" w:customStyle="1" w:styleId="CommentTextChar">
    <w:name w:val="Comment Text Char"/>
    <w:basedOn w:val="DefaultParagraphFont"/>
    <w:link w:val="CommentText"/>
    <w:uiPriority w:val="99"/>
    <w:rsid w:val="00FB0989"/>
    <w:rPr>
      <w:rFonts w:ascii="Arial" w:eastAsia="Times New Roman" w:hAnsi="Arial" w:cstheme="minorHAnsi"/>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F46A0-961A-4DA5-8338-320D75D5C56C}">
  <ds:schemaRefs>
    <ds:schemaRef ds:uri="http://schemas.microsoft.com/sharepoint/v3/contenttype/forms"/>
  </ds:schemaRefs>
</ds:datastoreItem>
</file>

<file path=customXml/itemProps2.xml><?xml version="1.0" encoding="utf-8"?>
<ds:datastoreItem xmlns:ds="http://schemas.openxmlformats.org/officeDocument/2006/customXml" ds:itemID="{B5C63885-F2E8-42F2-A237-5CB038C6CD46}">
  <ds:schemaRefs>
    <ds:schemaRef ds:uri="http://schemas.microsoft.com/office/2006/metadata/properties"/>
    <ds:schemaRef ds:uri="http://schemas.microsoft.com/office/infopath/2007/PartnerControls"/>
    <ds:schemaRef ds:uri="6bfde61a-94c1-42db-b4d1-79e5b3c6adc0"/>
  </ds:schemaRefs>
</ds:datastoreItem>
</file>

<file path=customXml/itemProps3.xml><?xml version="1.0" encoding="utf-8"?>
<ds:datastoreItem xmlns:ds="http://schemas.openxmlformats.org/officeDocument/2006/customXml" ds:itemID="{FA6B7712-FF41-4919-855D-D26B05A3F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6.3 - DeafBlind Services</dc:title>
  <dc:subject/>
  <dc:creator>TWC-VR</dc:creator>
  <cp:keywords>Texas Workforce Commission Vocational Rehabilitation Services Manual (VRSM) policy</cp:keywords>
  <dc:description/>
  <cp:lastModifiedBy>Martin-Hudson,Bonnie</cp:lastModifiedBy>
  <cp:revision>12</cp:revision>
  <dcterms:created xsi:type="dcterms:W3CDTF">2024-07-24T18:52:00Z</dcterms:created>
  <dcterms:modified xsi:type="dcterms:W3CDTF">2024-08-14T18:32:00Z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