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B54862B" w:rsidR="002A345C" w:rsidRDefault="00C85622" w:rsidP="009F5F26">
      <w:pPr>
        <w:pStyle w:val="Heading1"/>
      </w:pPr>
      <w:r w:rsidRPr="009F5F26">
        <w:t>PART C, CHAPTER 5.3.</w:t>
      </w:r>
      <w:r w:rsidR="002D55FE" w:rsidRPr="009F5F26">
        <w:t>e</w:t>
      </w:r>
      <w:r w:rsidRPr="009F5F26">
        <w:t>:</w:t>
      </w:r>
      <w:r w:rsidR="009F5F26">
        <w:br/>
      </w:r>
      <w:r w:rsidR="002D55FE">
        <w:t>SUPPORTED RESIDENTIAL SERVICES</w:t>
      </w:r>
      <w:r w:rsidR="009F5F26">
        <w:br/>
      </w:r>
      <w:r w:rsidR="002D55FE">
        <w:t>FOR PEOPLE IN RECOVERY</w:t>
      </w:r>
    </w:p>
    <w:tbl>
      <w:tblPr>
        <w:tblW w:w="9651" w:type="dxa"/>
        <w:tblLook w:val="04A0" w:firstRow="1" w:lastRow="0" w:firstColumn="1" w:lastColumn="0" w:noHBand="0" w:noVBand="1"/>
      </w:tblPr>
      <w:tblGrid>
        <w:gridCol w:w="1807"/>
        <w:gridCol w:w="5175"/>
        <w:gridCol w:w="1452"/>
        <w:gridCol w:w="1217"/>
      </w:tblGrid>
      <w:tr w:rsidR="00423F90" w:rsidRPr="00423F90" w14:paraId="5D498C31" w14:textId="77777777" w:rsidTr="008B35B0">
        <w:trPr>
          <w:trHeight w:val="312"/>
        </w:trPr>
        <w:tc>
          <w:tcPr>
            <w:tcW w:w="1807"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4A59C87E" w14:textId="77777777" w:rsidR="00423F90" w:rsidRPr="00423F90" w:rsidRDefault="00423F90" w:rsidP="00423F90">
            <w:pPr>
              <w:spacing w:before="0" w:after="0" w:line="240" w:lineRule="auto"/>
              <w:rPr>
                <w:rFonts w:eastAsia="Times New Roman"/>
                <w:b/>
                <w:bCs/>
                <w:color w:val="000000"/>
                <w:kern w:val="0"/>
                <w14:ligatures w14:val="none"/>
              </w:rPr>
            </w:pPr>
            <w:r w:rsidRPr="00423F90">
              <w:rPr>
                <w:rFonts w:eastAsia="Times New Roman"/>
                <w:b/>
                <w:bCs/>
                <w:color w:val="000000"/>
                <w:kern w:val="0"/>
                <w:lang w:val="en" w:eastAsia="ja-JP"/>
                <w14:ligatures w14:val="none"/>
              </w:rPr>
              <w:t>Policy Number</w:t>
            </w:r>
          </w:p>
        </w:tc>
        <w:tc>
          <w:tcPr>
            <w:tcW w:w="5175"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716D5A3E" w14:textId="77777777" w:rsidR="00423F90" w:rsidRPr="00423F90" w:rsidRDefault="00423F90" w:rsidP="00423F90">
            <w:pPr>
              <w:spacing w:before="0" w:after="0" w:line="240" w:lineRule="auto"/>
              <w:rPr>
                <w:rFonts w:eastAsia="Times New Roman"/>
                <w:b/>
                <w:bCs/>
                <w:color w:val="000000"/>
                <w:kern w:val="0"/>
                <w14:ligatures w14:val="none"/>
              </w:rPr>
            </w:pPr>
            <w:r w:rsidRPr="00423F90">
              <w:rPr>
                <w:rFonts w:eastAsia="Times New Roman"/>
                <w:b/>
                <w:bCs/>
                <w:color w:val="000000"/>
                <w:kern w:val="0"/>
                <w:lang w:val="en" w:eastAsia="ja-JP"/>
                <w14:ligatures w14:val="none"/>
              </w:rPr>
              <w:t>Authority</w:t>
            </w:r>
          </w:p>
        </w:tc>
        <w:tc>
          <w:tcPr>
            <w:tcW w:w="1452"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0B2BFFE0" w14:textId="77777777" w:rsidR="00423F90" w:rsidRPr="00423F90" w:rsidRDefault="00423F90" w:rsidP="00423F90">
            <w:pPr>
              <w:spacing w:before="0" w:after="0" w:line="240" w:lineRule="auto"/>
              <w:rPr>
                <w:rFonts w:eastAsia="Times New Roman"/>
                <w:b/>
                <w:bCs/>
                <w:color w:val="000000"/>
                <w:kern w:val="0"/>
                <w14:ligatures w14:val="none"/>
              </w:rPr>
            </w:pPr>
            <w:r w:rsidRPr="00423F90">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3203F7E3" w14:textId="77777777" w:rsidR="00423F90" w:rsidRPr="00423F90" w:rsidRDefault="00423F90" w:rsidP="00423F90">
            <w:pPr>
              <w:spacing w:before="0" w:after="0" w:line="240" w:lineRule="auto"/>
              <w:rPr>
                <w:rFonts w:eastAsia="Times New Roman"/>
                <w:b/>
                <w:bCs/>
                <w:color w:val="000000"/>
                <w:kern w:val="0"/>
                <w14:ligatures w14:val="none"/>
              </w:rPr>
            </w:pPr>
            <w:r w:rsidRPr="00423F90">
              <w:rPr>
                <w:rFonts w:eastAsia="Times New Roman"/>
                <w:b/>
                <w:bCs/>
                <w:color w:val="000000"/>
                <w:kern w:val="0"/>
                <w:lang w:val="en" w:eastAsia="ja-JP"/>
                <w14:ligatures w14:val="none"/>
              </w:rPr>
              <w:t>Effective Date</w:t>
            </w:r>
          </w:p>
        </w:tc>
      </w:tr>
      <w:tr w:rsidR="006170EF" w:rsidRPr="00423F90" w14:paraId="4A334D75" w14:textId="77777777" w:rsidTr="006170EF">
        <w:trPr>
          <w:trHeight w:val="30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69940DA3" w14:textId="77777777" w:rsidR="006170EF" w:rsidRPr="00423F90" w:rsidRDefault="006170EF" w:rsidP="006170EF">
            <w:pPr>
              <w:spacing w:before="0" w:after="0" w:line="240" w:lineRule="auto"/>
              <w:rPr>
                <w:rFonts w:eastAsia="Times New Roman"/>
                <w:color w:val="000000"/>
                <w:kern w:val="0"/>
                <w14:ligatures w14:val="none"/>
              </w:rPr>
            </w:pPr>
            <w:r w:rsidRPr="00423F90">
              <w:rPr>
                <w:rFonts w:eastAsia="Times New Roman"/>
                <w:color w:val="000000"/>
                <w:kern w:val="0"/>
                <w:lang w:val="en" w:eastAsia="ja-JP"/>
                <w14:ligatures w14:val="none"/>
              </w:rPr>
              <w:t>Part C, Chapter 5.3.e</w:t>
            </w:r>
          </w:p>
        </w:tc>
        <w:tc>
          <w:tcPr>
            <w:tcW w:w="5175" w:type="dxa"/>
            <w:tcBorders>
              <w:top w:val="nil"/>
              <w:left w:val="nil"/>
              <w:bottom w:val="single" w:sz="4" w:space="0" w:color="auto"/>
              <w:right w:val="single" w:sz="4" w:space="0" w:color="auto"/>
            </w:tcBorders>
            <w:shd w:val="clear" w:color="auto" w:fill="auto"/>
            <w:noWrap/>
            <w:vAlign w:val="center"/>
            <w:hideMark/>
          </w:tcPr>
          <w:p w14:paraId="6FDC1E3F" w14:textId="6E9A1438" w:rsidR="006170EF" w:rsidRPr="00423F90" w:rsidRDefault="006170EF" w:rsidP="006170EF">
            <w:pPr>
              <w:spacing w:before="0" w:after="0" w:line="240" w:lineRule="auto"/>
              <w:rPr>
                <w:rFonts w:eastAsia="Times New Roman"/>
                <w:color w:val="000000"/>
                <w:kern w:val="0"/>
                <w14:ligatures w14:val="none"/>
              </w:rPr>
            </w:pPr>
            <w:r w:rsidRPr="00C85622">
              <w:t xml:space="preserve">34 CFR </w:t>
            </w:r>
            <w:hyperlink r:id="rId10" w:anchor="p-361.5(c)(39)" w:history="1">
              <w:r w:rsidRPr="00C85622">
                <w:rPr>
                  <w:rStyle w:val="Hyperlink"/>
                </w:rPr>
                <w:t>§361.5(c)(39)</w:t>
              </w:r>
            </w:hyperlink>
            <w:r w:rsidRPr="00C85622">
              <w:t xml:space="preserve">, </w:t>
            </w:r>
            <w:hyperlink r:id="rId11" w:anchor="p-361.48(b)(5)" w:history="1">
              <w:r w:rsidRPr="00C85622">
                <w:rPr>
                  <w:rStyle w:val="Hyperlink"/>
                </w:rPr>
                <w:t>§361.48(b)(5)</w:t>
              </w:r>
            </w:hyperlink>
            <w:r w:rsidRPr="00C85622">
              <w:t xml:space="preserve">, </w:t>
            </w:r>
            <w:r>
              <w:t xml:space="preserve">and </w:t>
            </w:r>
            <w:r w:rsidRPr="00C85622">
              <w:t xml:space="preserve">TWC Rule </w:t>
            </w:r>
            <w:hyperlink r:id="rId12" w:history="1">
              <w:r w:rsidRPr="00C85622">
                <w:rPr>
                  <w:rStyle w:val="Hyperlink"/>
                </w:rPr>
                <w:t>§856.44</w:t>
              </w:r>
            </w:hyperlink>
          </w:p>
        </w:tc>
        <w:tc>
          <w:tcPr>
            <w:tcW w:w="1452" w:type="dxa"/>
            <w:tcBorders>
              <w:top w:val="nil"/>
              <w:left w:val="nil"/>
              <w:bottom w:val="single" w:sz="4" w:space="0" w:color="auto"/>
              <w:right w:val="single" w:sz="4" w:space="0" w:color="auto"/>
            </w:tcBorders>
            <w:shd w:val="clear" w:color="auto" w:fill="auto"/>
            <w:noWrap/>
            <w:vAlign w:val="bottom"/>
            <w:hideMark/>
          </w:tcPr>
          <w:p w14:paraId="6A8156A3" w14:textId="77777777" w:rsidR="006170EF" w:rsidRPr="00423F90" w:rsidRDefault="006170EF" w:rsidP="006170EF">
            <w:pPr>
              <w:spacing w:before="0" w:after="0" w:line="240" w:lineRule="auto"/>
              <w:rPr>
                <w:rFonts w:eastAsia="Times New Roman"/>
                <w:color w:val="000000"/>
                <w:kern w:val="0"/>
                <w14:ligatures w14:val="none"/>
              </w:rPr>
            </w:pPr>
            <w:r w:rsidRPr="00423F90">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EE59FE0" w14:textId="77777777" w:rsidR="006170EF" w:rsidRPr="00423F90" w:rsidRDefault="006170EF" w:rsidP="006170EF">
            <w:pPr>
              <w:spacing w:before="0" w:after="0" w:line="240" w:lineRule="auto"/>
              <w:rPr>
                <w:rFonts w:eastAsia="Times New Roman"/>
                <w:color w:val="000000"/>
                <w:kern w:val="0"/>
                <w14:ligatures w14:val="none"/>
              </w:rPr>
            </w:pPr>
            <w:r w:rsidRPr="00423F90">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606D01F" w14:textId="77777777" w:rsidR="001C4F4D" w:rsidRPr="00645837" w:rsidRDefault="00C85622" w:rsidP="001C4F4D">
      <w:pPr>
        <w:rPr>
          <w:lang w:eastAsia="ja-JP"/>
        </w:rPr>
      </w:pPr>
      <w:r w:rsidRPr="00DC5EBA">
        <w:t xml:space="preserve">Specifically, the purpose of this policy and these procedures is to ensure adherence to </w:t>
      </w:r>
      <w:r>
        <w:t xml:space="preserve">the provision </w:t>
      </w:r>
      <w:r w:rsidR="001C4F4D" w:rsidRPr="00645837">
        <w:rPr>
          <w:lang w:eastAsia="ja-JP"/>
        </w:rPr>
        <w:t xml:space="preserve">of </w:t>
      </w:r>
      <w:r w:rsidR="001C4F4D">
        <w:rPr>
          <w:lang w:eastAsia="ja-JP"/>
        </w:rPr>
        <w:t>Supportive Residential Services for Persons in Recovery (</w:t>
      </w:r>
      <w:bookmarkStart w:id="0" w:name="_Hlk172733244"/>
      <w:r w:rsidR="001C4F4D">
        <w:rPr>
          <w:lang w:eastAsia="ja-JP"/>
        </w:rPr>
        <w:t>SRSPR</w:t>
      </w:r>
      <w:bookmarkEnd w:id="0"/>
      <w:r w:rsidR="001C4F4D">
        <w:rPr>
          <w:lang w:eastAsia="ja-JP"/>
        </w:rPr>
        <w:t xml:space="preserve">) services </w:t>
      </w:r>
      <w:r w:rsidR="001C4F4D" w:rsidRPr="00645837">
        <w:rPr>
          <w:lang w:eastAsia="ja-JP"/>
        </w:rPr>
        <w:t>for TWC-VR customers.</w:t>
      </w:r>
    </w:p>
    <w:p w14:paraId="077D4BD0" w14:textId="7E6B280C" w:rsidR="00F04098" w:rsidRDefault="00A001F3" w:rsidP="001C4F4D">
      <w:pPr>
        <w:pStyle w:val="Heading2"/>
      </w:pPr>
      <w:r>
        <w:t>DEFINITIONS</w:t>
      </w:r>
    </w:p>
    <w:p w14:paraId="5B30362B" w14:textId="77777777" w:rsidR="001C4F4D" w:rsidRDefault="001C4F4D" w:rsidP="001C4F4D">
      <w:bookmarkStart w:id="1" w:name="_Hlk174303036"/>
      <w:r w:rsidRPr="00372CD0">
        <w:rPr>
          <w:u w:val="single"/>
        </w:rPr>
        <w:t>Bilateral Contractor</w:t>
      </w:r>
      <w:r w:rsidRPr="00AE54BA">
        <w:t>: A service contractor that agrees to specific duties or deliverables under the terms of a contract with TWC-VR.</w:t>
      </w:r>
    </w:p>
    <w:p w14:paraId="639AED48" w14:textId="77777777" w:rsidR="001C4F4D" w:rsidRPr="007673E4" w:rsidRDefault="001C4F4D" w:rsidP="001C4F4D">
      <w:bookmarkStart w:id="2" w:name="_Toc155866032"/>
      <w:bookmarkStart w:id="3" w:name="_Hlk165468754"/>
      <w:r w:rsidRPr="007673E4">
        <w:rPr>
          <w:u w:val="single"/>
        </w:rPr>
        <w:t>Detoxification</w:t>
      </w:r>
      <w:bookmarkEnd w:id="2"/>
      <w:r w:rsidRPr="007673E4">
        <w:t>: Process used to assist the recovering individual through the acute effects of the substance used. Usually consists of hospitalization, medication, and nutritional assistance.</w:t>
      </w:r>
    </w:p>
    <w:p w14:paraId="498DBEF1" w14:textId="77777777" w:rsidR="001C4F4D" w:rsidRPr="007673E4" w:rsidRDefault="001C4F4D" w:rsidP="001C4F4D">
      <w:r w:rsidRPr="007673E4">
        <w:rPr>
          <w:u w:val="single"/>
        </w:rPr>
        <w:t>Diagnostic and Statistical Manual of Mental Disorders, Fifth Edition (DSM-5)</w:t>
      </w:r>
      <w:r w:rsidRPr="007673E4">
        <w:t>: Handbook published by American Psychiatric Association (APA) widely used by clinicians and psychiatrists in the United States to diagnose psychiatric illnesses. Covers all categories of mental health disorders for both adults and children.</w:t>
      </w:r>
    </w:p>
    <w:p w14:paraId="5DE310F2" w14:textId="49B2A0CF" w:rsidR="001C4F4D" w:rsidRDefault="001C4F4D" w:rsidP="001C4F4D">
      <w:r w:rsidRPr="008053EA">
        <w:rPr>
          <w:u w:val="single"/>
        </w:rPr>
        <w:t>Informed Choice</w:t>
      </w:r>
      <w:r w:rsidRPr="008053EA">
        <w:t xml:space="preserve">: The means by which a customer chooses their rehabilitation path, from options based on their needs and circumstances and the TWC-VR rules, as it relates to </w:t>
      </w:r>
      <w:r w:rsidRPr="00C47BD9">
        <w:t xml:space="preserve">choosing </w:t>
      </w:r>
      <w:r w:rsidR="00D55410" w:rsidRPr="00C47BD9">
        <w:t>restoration</w:t>
      </w:r>
      <w:r w:rsidRPr="00C47BD9">
        <w:t xml:space="preserve"> services and the providers of those services.</w:t>
      </w:r>
    </w:p>
    <w:p w14:paraId="6B0DF53E" w14:textId="77777777" w:rsidR="001C4F4D" w:rsidRPr="007673E4" w:rsidRDefault="001C4F4D" w:rsidP="001C4F4D">
      <w:bookmarkStart w:id="4" w:name="_Toc155866033"/>
      <w:r w:rsidRPr="007673E4">
        <w:rPr>
          <w:u w:val="single"/>
        </w:rPr>
        <w:t>Methadone Treatment</w:t>
      </w:r>
      <w:bookmarkEnd w:id="4"/>
      <w:r w:rsidRPr="007673E4">
        <w:t>: Daily doses of methadone to replace the drug in order to prevent withdrawal symptoms and relapse. This is usually performed at medically supervised clinics. Methadone treatment does not include AA or NA practices.</w:t>
      </w:r>
    </w:p>
    <w:p w14:paraId="118649DB" w14:textId="77777777" w:rsidR="001C4F4D" w:rsidRPr="00645837" w:rsidRDefault="001C4F4D" w:rsidP="001C4F4D">
      <w:r w:rsidRPr="00645837">
        <w:rPr>
          <w:u w:val="single"/>
        </w:rPr>
        <w:lastRenderedPageBreak/>
        <w:t>Sobriety:</w:t>
      </w:r>
      <w:r w:rsidRPr="00645837">
        <w:t xml:space="preserve"> The state of living without substances (i.e., drugs, alcohol); process of transitioning from addiction to recovery (i.e., healing mentally, physically, and emotionally from substance abuse and its causes).</w:t>
      </w:r>
    </w:p>
    <w:p w14:paraId="67CC13A0" w14:textId="77777777" w:rsidR="001C4F4D" w:rsidRDefault="001C4F4D" w:rsidP="001C4F4D">
      <w:r w:rsidRPr="00645837">
        <w:rPr>
          <w:u w:val="single"/>
        </w:rPr>
        <w:t>Substance Use Disorders</w:t>
      </w:r>
      <w:r w:rsidRPr="00645837">
        <w:t>: A pathological pattern of behaviors related to the use of a substance or substances, per the DSM-5.</w:t>
      </w:r>
      <w:bookmarkEnd w:id="3"/>
      <w:r>
        <w:t xml:space="preserve"> </w:t>
      </w:r>
    </w:p>
    <w:bookmarkEnd w:id="1"/>
    <w:p w14:paraId="4E38E04F" w14:textId="71203D30" w:rsidR="00A001F3" w:rsidRDefault="00D5593A" w:rsidP="0033181C">
      <w:pPr>
        <w:pStyle w:val="Heading2"/>
      </w:pPr>
      <w:r>
        <w:t>POLICY</w:t>
      </w:r>
    </w:p>
    <w:p w14:paraId="6D9D53FA" w14:textId="67AC12AE" w:rsidR="00AE3E47" w:rsidRPr="00045CB3" w:rsidRDefault="00A70A13" w:rsidP="00FA3AD4">
      <w:pPr>
        <w:pStyle w:val="Heading3"/>
      </w:pPr>
      <w:r w:rsidRPr="00045CB3">
        <w:t>General Overview</w:t>
      </w:r>
    </w:p>
    <w:p w14:paraId="22ABED05" w14:textId="4191C06A" w:rsidR="001C3111" w:rsidRPr="00CD1868" w:rsidRDefault="00045CB3" w:rsidP="001C3111">
      <w:pPr>
        <w:autoSpaceDE w:val="0"/>
        <w:autoSpaceDN w:val="0"/>
        <w:adjustRightInd w:val="0"/>
      </w:pPr>
      <w:bookmarkStart w:id="5" w:name="_Hlk170329212"/>
      <w:bookmarkStart w:id="6" w:name="_Hlk166443020"/>
      <w:r w:rsidRPr="009A33BB">
        <w:t>Supportive Residential Services</w:t>
      </w:r>
      <w:r>
        <w:t xml:space="preserve"> for </w:t>
      </w:r>
      <w:r w:rsidR="00CA7EFC">
        <w:t>P</w:t>
      </w:r>
      <w:r>
        <w:t>erson in Recovery (SRSPR)</w:t>
      </w:r>
      <w:r w:rsidR="001C3111" w:rsidRPr="00CD1868">
        <w:t xml:space="preserve"> assist</w:t>
      </w:r>
      <w:r>
        <w:t>s</w:t>
      </w:r>
      <w:r w:rsidR="001C3111" w:rsidRPr="00CD1868">
        <w:t xml:space="preserve"> customers who are in recovery to maintain stability, control, and abstinence from use of substances so they can gain </w:t>
      </w:r>
      <w:r w:rsidR="00B745A1">
        <w:t>CIE</w:t>
      </w:r>
      <w:r w:rsidR="001C3111" w:rsidRPr="00CD1868">
        <w:t xml:space="preserve">. This service is intended to provide a supervised, stable living environment, with additional supports to assist the customer in pursuit of a successful </w:t>
      </w:r>
      <w:r w:rsidR="00B745A1">
        <w:t xml:space="preserve">CIE </w:t>
      </w:r>
      <w:r w:rsidR="001C3111" w:rsidRPr="00CD1868">
        <w:t xml:space="preserve">outcome in a timely manner. </w:t>
      </w:r>
    </w:p>
    <w:p w14:paraId="38B09669" w14:textId="77777777" w:rsidR="001C3111" w:rsidRDefault="001C3111" w:rsidP="001C3111">
      <w:r w:rsidRPr="00CD1868">
        <w:t xml:space="preserve">If an individual is currently in a Supportive Residential Service facility and is seeking services from TWC-VR, they must fully comply with the </w:t>
      </w:r>
      <w:r>
        <w:t>facility's</w:t>
      </w:r>
      <w:r w:rsidRPr="00CD1868">
        <w:t xml:space="preserve"> policies and procedures. The customer must meet, and continue to meet, the substance use disorder eligibility requirements for TWC-VR.</w:t>
      </w:r>
    </w:p>
    <w:p w14:paraId="6986F975" w14:textId="77777777" w:rsidR="001C3111" w:rsidRPr="00CD1868" w:rsidRDefault="001C3111" w:rsidP="001C3111">
      <w:r w:rsidRPr="00CD1868">
        <w:t>Supportive Residential Services are NOT intended to serve as a medical detox.</w:t>
      </w:r>
    </w:p>
    <w:p w14:paraId="7A1CE9FF" w14:textId="77777777" w:rsidR="001C3111" w:rsidRPr="00CD1868" w:rsidRDefault="001C3111" w:rsidP="001C3111">
      <w:pPr>
        <w:pStyle w:val="ListBulleted"/>
      </w:pPr>
      <w:r w:rsidRPr="00CD1868">
        <w:rPr>
          <w:u w:val="single"/>
        </w:rPr>
        <w:t>Substance Classifications</w:t>
      </w:r>
      <w:r w:rsidRPr="00CD1868">
        <w:t>: TWC-VR only supports customers with substance use related to the following classifications</w:t>
      </w:r>
      <w:r>
        <w:t>:</w:t>
      </w:r>
    </w:p>
    <w:p w14:paraId="4249DC70" w14:textId="0F8F7B87" w:rsidR="001C3111" w:rsidRPr="009B232D" w:rsidRDefault="001C3111" w:rsidP="001C3111">
      <w:pPr>
        <w:pStyle w:val="ListBulleted"/>
        <w:numPr>
          <w:ilvl w:val="1"/>
          <w:numId w:val="35"/>
        </w:numPr>
      </w:pPr>
      <w:r w:rsidRPr="009B232D">
        <w:t>Alcohol</w:t>
      </w:r>
      <w:r w:rsidR="00B745A1">
        <w:t xml:space="preserve">: </w:t>
      </w:r>
      <w:r w:rsidRPr="009B232D">
        <w:t>Usually composed of ethanol or ethyl liquid that when ingested acts as a psychoactive drug that acts as a depressant on the central nervous system (Caron 2016)</w:t>
      </w:r>
      <w:r w:rsidR="00B745A1">
        <w:t>;</w:t>
      </w:r>
    </w:p>
    <w:p w14:paraId="269A97D2" w14:textId="1BE8698E" w:rsidR="001C3111" w:rsidRPr="009B232D" w:rsidRDefault="001C3111" w:rsidP="001C3111">
      <w:pPr>
        <w:pStyle w:val="ListBulleted"/>
        <w:numPr>
          <w:ilvl w:val="1"/>
          <w:numId w:val="35"/>
        </w:numPr>
      </w:pPr>
      <w:r w:rsidRPr="009B232D">
        <w:t>Cannabis</w:t>
      </w:r>
      <w:r w:rsidR="00B745A1">
        <w:t xml:space="preserve">: </w:t>
      </w:r>
      <w:r w:rsidRPr="009B232D">
        <w:t xml:space="preserve">Dried flowering tops of Cannabis </w:t>
      </w:r>
      <w:r w:rsidR="00B745A1" w:rsidRPr="009B232D">
        <w:t>Sativa</w:t>
      </w:r>
      <w:r w:rsidRPr="009B232D">
        <w:t xml:space="preserve"> plant. Smoked or ingested to induce psychotomimetic effects to the central nervous system</w:t>
      </w:r>
      <w:r w:rsidR="00B745A1">
        <w:t>; u</w:t>
      </w:r>
      <w:r w:rsidRPr="009B232D">
        <w:t xml:space="preserve">sually </w:t>
      </w:r>
      <w:r w:rsidR="00B745A1">
        <w:t>referred to as</w:t>
      </w:r>
      <w:r w:rsidRPr="009B232D">
        <w:t xml:space="preserve"> </w:t>
      </w:r>
      <w:r w:rsidR="00B745A1">
        <w:t>m</w:t>
      </w:r>
      <w:r w:rsidR="00B745A1" w:rsidRPr="009B232D">
        <w:t>arijuana</w:t>
      </w:r>
      <w:r w:rsidR="00B745A1">
        <w:t>;</w:t>
      </w:r>
    </w:p>
    <w:p w14:paraId="13BF12AE" w14:textId="3E2630A0" w:rsidR="001C3111" w:rsidRPr="009B232D" w:rsidRDefault="001C3111" w:rsidP="001C3111">
      <w:pPr>
        <w:pStyle w:val="ListBulleted"/>
        <w:numPr>
          <w:ilvl w:val="1"/>
          <w:numId w:val="35"/>
        </w:numPr>
      </w:pPr>
      <w:r w:rsidRPr="009B232D">
        <w:t>Hallucinogens</w:t>
      </w:r>
      <w:r w:rsidR="00B745A1">
        <w:t xml:space="preserve">: </w:t>
      </w:r>
      <w:r w:rsidRPr="009B232D">
        <w:t>Plant or synthetic compounds capable of causing functional disturbances in the form of psychoses, mainly hallucinations</w:t>
      </w:r>
      <w:r w:rsidR="00B745A1">
        <w:t>;</w:t>
      </w:r>
    </w:p>
    <w:p w14:paraId="243C6A50" w14:textId="5A2431E8" w:rsidR="001C3111" w:rsidRPr="009B232D" w:rsidRDefault="001C3111" w:rsidP="001C3111">
      <w:pPr>
        <w:pStyle w:val="ListBulleted"/>
        <w:numPr>
          <w:ilvl w:val="1"/>
          <w:numId w:val="35"/>
        </w:numPr>
      </w:pPr>
      <w:r w:rsidRPr="009B232D">
        <w:t>Inhalants</w:t>
      </w:r>
      <w:r w:rsidR="00B745A1">
        <w:t xml:space="preserve">: </w:t>
      </w:r>
      <w:r w:rsidRPr="009B232D">
        <w:t>Chemical vapors that are inhaled for delusional effects on the central nervous system</w:t>
      </w:r>
      <w:r w:rsidR="00B745A1">
        <w:t>;</w:t>
      </w:r>
    </w:p>
    <w:p w14:paraId="3CC75561" w14:textId="356635E3" w:rsidR="001C3111" w:rsidRPr="009B232D" w:rsidRDefault="001C3111" w:rsidP="001C3111">
      <w:pPr>
        <w:pStyle w:val="ListBulleted"/>
        <w:numPr>
          <w:ilvl w:val="1"/>
          <w:numId w:val="35"/>
        </w:numPr>
      </w:pPr>
      <w:r w:rsidRPr="009B232D">
        <w:t>Phencyclidine</w:t>
      </w:r>
      <w:r w:rsidR="00B745A1">
        <w:t>:</w:t>
      </w:r>
      <w:r w:rsidRPr="009B232D">
        <w:t xml:space="preserve"> Intravenous antiseptic that causes delusions and hallucinations</w:t>
      </w:r>
      <w:r w:rsidR="00B745A1">
        <w:t>; usually referred to as</w:t>
      </w:r>
      <w:r w:rsidRPr="009B232D">
        <w:t xml:space="preserve"> PCP or Angel Dust</w:t>
      </w:r>
      <w:r w:rsidR="00B745A1">
        <w:t>;</w:t>
      </w:r>
    </w:p>
    <w:p w14:paraId="46234DAB" w14:textId="2D2E02FC" w:rsidR="001C3111" w:rsidRPr="009B232D" w:rsidRDefault="001C3111" w:rsidP="001C3111">
      <w:pPr>
        <w:pStyle w:val="ListBulleted"/>
        <w:numPr>
          <w:ilvl w:val="1"/>
          <w:numId w:val="35"/>
        </w:numPr>
      </w:pPr>
      <w:r w:rsidRPr="009B232D">
        <w:t>Opioids</w:t>
      </w:r>
      <w:r w:rsidR="00B745A1">
        <w:t xml:space="preserve">: </w:t>
      </w:r>
      <w:r w:rsidRPr="009B232D">
        <w:t>A pain-attenuating peptide, synthetic or natural, that triggers the brain to release analgesia</w:t>
      </w:r>
      <w:r w:rsidR="00B745A1">
        <w:t>;</w:t>
      </w:r>
    </w:p>
    <w:p w14:paraId="53677462" w14:textId="593535E4" w:rsidR="001C3111" w:rsidRPr="009B232D" w:rsidRDefault="001C3111" w:rsidP="001C3111">
      <w:pPr>
        <w:pStyle w:val="ListBulleted"/>
        <w:numPr>
          <w:ilvl w:val="1"/>
          <w:numId w:val="35"/>
        </w:numPr>
      </w:pPr>
      <w:r w:rsidRPr="009B232D">
        <w:lastRenderedPageBreak/>
        <w:t>Sedatives</w:t>
      </w:r>
      <w:r w:rsidR="00B745A1">
        <w:t xml:space="preserve">: </w:t>
      </w:r>
      <w:r w:rsidRPr="009B232D">
        <w:t>Usually combination of drugs used to calm or relax patients</w:t>
      </w:r>
      <w:r w:rsidR="00B745A1">
        <w:t>;</w:t>
      </w:r>
    </w:p>
    <w:p w14:paraId="42E8B695" w14:textId="69615C71" w:rsidR="001C3111" w:rsidRPr="009B232D" w:rsidRDefault="001C3111" w:rsidP="001C3111">
      <w:pPr>
        <w:pStyle w:val="ListBulleted"/>
        <w:numPr>
          <w:ilvl w:val="1"/>
          <w:numId w:val="35"/>
        </w:numPr>
      </w:pPr>
      <w:r w:rsidRPr="009B232D">
        <w:t>Stimulants</w:t>
      </w:r>
      <w:r w:rsidR="00B745A1">
        <w:t xml:space="preserve">: </w:t>
      </w:r>
      <w:r w:rsidRPr="009B232D">
        <w:t>A drug or other substance used to accelerate or excite the central nervous system</w:t>
      </w:r>
      <w:r w:rsidR="00B745A1">
        <w:t>.</w:t>
      </w:r>
    </w:p>
    <w:p w14:paraId="74B149F1" w14:textId="3AF94F34" w:rsidR="001C3111" w:rsidRDefault="001C3111" w:rsidP="00B745A1">
      <w:pPr>
        <w:pStyle w:val="ListBulleted"/>
      </w:pPr>
      <w:r w:rsidRPr="001C3111">
        <w:rPr>
          <w:u w:val="single"/>
        </w:rPr>
        <w:t>Drug Classifications</w:t>
      </w:r>
      <w:r>
        <w:t xml:space="preserve">: </w:t>
      </w:r>
      <w:r w:rsidRPr="00CD1868">
        <w:t xml:space="preserve">TWC-VR </w:t>
      </w:r>
      <w:r>
        <w:t>does not support treatment for the following classifications:</w:t>
      </w:r>
    </w:p>
    <w:p w14:paraId="506E9E42" w14:textId="57245B7A" w:rsidR="001C3111" w:rsidRPr="009B232D" w:rsidRDefault="001C3111" w:rsidP="00D55410">
      <w:pPr>
        <w:pStyle w:val="ListBulleted"/>
        <w:numPr>
          <w:ilvl w:val="1"/>
          <w:numId w:val="35"/>
        </w:numPr>
      </w:pPr>
      <w:r w:rsidRPr="009B232D">
        <w:t>Caffeine</w:t>
      </w:r>
      <w:r w:rsidR="00B745A1">
        <w:t xml:space="preserve">: </w:t>
      </w:r>
      <w:r w:rsidRPr="009B232D">
        <w:t>A stimulant made of a crystalline compound that affects the central nervous system (Farlex)</w:t>
      </w:r>
      <w:r w:rsidR="00B745A1">
        <w:t xml:space="preserve">; </w:t>
      </w:r>
    </w:p>
    <w:p w14:paraId="3EBA1F9F" w14:textId="28D63DE6" w:rsidR="001C3111" w:rsidRPr="009B232D" w:rsidRDefault="001C3111" w:rsidP="00D55410">
      <w:pPr>
        <w:pStyle w:val="ListBulleted"/>
        <w:numPr>
          <w:ilvl w:val="1"/>
          <w:numId w:val="35"/>
        </w:numPr>
      </w:pPr>
      <w:r w:rsidRPr="009B232D">
        <w:t>Tobacco</w:t>
      </w:r>
      <w:r w:rsidR="00B745A1">
        <w:t xml:space="preserve">: </w:t>
      </w:r>
      <w:r w:rsidRPr="009B232D">
        <w:t>Prepared leaves of certain plants; some having narcotic properties, used for chewing, smoking or sniffing</w:t>
      </w:r>
      <w:r w:rsidR="00B745A1">
        <w:t>.</w:t>
      </w:r>
    </w:p>
    <w:p w14:paraId="62FE5416" w14:textId="3E116D95" w:rsidR="00045CB3" w:rsidRPr="00B745A1" w:rsidRDefault="00045CB3" w:rsidP="00045CB3">
      <w:pPr>
        <w:pStyle w:val="Heading3"/>
      </w:pPr>
      <w:r w:rsidRPr="00B745A1">
        <w:t>SRSPR Parameters</w:t>
      </w:r>
    </w:p>
    <w:p w14:paraId="51ECB213" w14:textId="10527E22" w:rsidR="00045CB3" w:rsidRPr="00EA4372" w:rsidRDefault="00045CB3" w:rsidP="00D55410">
      <w:pPr>
        <w:pStyle w:val="ListBulleted"/>
      </w:pPr>
      <w:r>
        <w:t xml:space="preserve">SRSPR </w:t>
      </w:r>
      <w:r w:rsidR="004F09A4">
        <w:t>are</w:t>
      </w:r>
      <w:r w:rsidR="004F09A4" w:rsidRPr="00EA4372">
        <w:t xml:space="preserve"> </w:t>
      </w:r>
      <w:r w:rsidRPr="00EA4372">
        <w:t>purchased from a bilateral contractor</w:t>
      </w:r>
      <w:r>
        <w:t>.</w:t>
      </w:r>
    </w:p>
    <w:p w14:paraId="007853D4" w14:textId="1D68F4E7" w:rsidR="00045CB3" w:rsidRPr="00C032E7" w:rsidRDefault="00045CB3" w:rsidP="00D55410">
      <w:pPr>
        <w:pStyle w:val="ListBulleted"/>
        <w:rPr>
          <w:rStyle w:val="ui-provider"/>
        </w:rPr>
      </w:pPr>
      <w:r>
        <w:t>SRSPR</w:t>
      </w:r>
      <w:r w:rsidRPr="00C6322B">
        <w:rPr>
          <w:rStyle w:val="ui-provider"/>
        </w:rPr>
        <w:t xml:space="preserve"> must include 24 hours per day, </w:t>
      </w:r>
      <w:r w:rsidR="00CA7EFC">
        <w:rPr>
          <w:rStyle w:val="ui-provider"/>
        </w:rPr>
        <w:t>seven</w:t>
      </w:r>
      <w:r w:rsidRPr="00C6322B">
        <w:rPr>
          <w:rStyle w:val="ui-provider"/>
        </w:rPr>
        <w:t xml:space="preserve"> days per week of a structured therapeutic environment that ensures the health and safety of the customer while </w:t>
      </w:r>
      <w:r w:rsidR="00CA7EFC">
        <w:rPr>
          <w:rStyle w:val="ui-provider"/>
        </w:rPr>
        <w:t xml:space="preserve">they are </w:t>
      </w:r>
      <w:r w:rsidRPr="00C6322B">
        <w:rPr>
          <w:rStyle w:val="ui-provider"/>
        </w:rPr>
        <w:t xml:space="preserve">maintaining abstinence from the use of controlled substances. </w:t>
      </w:r>
      <w:r>
        <w:rPr>
          <w:rStyle w:val="ui-provider"/>
        </w:rPr>
        <w:t xml:space="preserve">SRSPR </w:t>
      </w:r>
      <w:r w:rsidR="00CA7EFC">
        <w:rPr>
          <w:rStyle w:val="ui-provider"/>
        </w:rPr>
        <w:t xml:space="preserve">are </w:t>
      </w:r>
      <w:r>
        <w:rPr>
          <w:rStyle w:val="ui-provider"/>
        </w:rPr>
        <w:t>NOT intended to serve as a medical detox</w:t>
      </w:r>
      <w:r w:rsidR="00CA7EFC">
        <w:rPr>
          <w:rStyle w:val="ui-provider"/>
        </w:rPr>
        <w:t>.</w:t>
      </w:r>
    </w:p>
    <w:p w14:paraId="2334A616" w14:textId="2715081D" w:rsidR="00045CB3" w:rsidRPr="00ED5785" w:rsidRDefault="00045CB3" w:rsidP="00D55410">
      <w:pPr>
        <w:pStyle w:val="ListBulleted"/>
        <w:rPr>
          <w:rStyle w:val="ui-provider"/>
        </w:rPr>
      </w:pPr>
      <w:bookmarkStart w:id="7" w:name="_Hlk172735360"/>
      <w:r>
        <w:rPr>
          <w:rStyle w:val="ui-provider"/>
        </w:rPr>
        <w:t xml:space="preserve">SRSPR </w:t>
      </w:r>
      <w:r w:rsidRPr="00C032E7">
        <w:rPr>
          <w:rStyle w:val="ui-provider"/>
        </w:rPr>
        <w:t>direct care staff-to-customer ratio must be at least 1:20 when customers are awake and 1:50 during sleeping hours</w:t>
      </w:r>
      <w:r w:rsidR="00CA7EFC">
        <w:rPr>
          <w:rStyle w:val="ui-provider"/>
        </w:rPr>
        <w:t>.</w:t>
      </w:r>
    </w:p>
    <w:p w14:paraId="35D46B11" w14:textId="22C3BF82" w:rsidR="00045CB3" w:rsidRPr="00ED5785" w:rsidRDefault="00045CB3" w:rsidP="00D55410">
      <w:pPr>
        <w:pStyle w:val="ListBulleted"/>
        <w:rPr>
          <w:rStyle w:val="ui-provider"/>
        </w:rPr>
      </w:pPr>
      <w:r>
        <w:t>SRSPR</w:t>
      </w:r>
      <w:r w:rsidRPr="00ED5785">
        <w:rPr>
          <w:rStyle w:val="ui-provider"/>
        </w:rPr>
        <w:t xml:space="preserve"> </w:t>
      </w:r>
      <w:r>
        <w:rPr>
          <w:rStyle w:val="ui-provider"/>
        </w:rPr>
        <w:t xml:space="preserve">facility </w:t>
      </w:r>
      <w:r w:rsidRPr="00ED5785">
        <w:rPr>
          <w:rStyle w:val="ui-provider"/>
        </w:rPr>
        <w:t>must provide and document at least six hours of treatment services per week for each customer, comprised of at least</w:t>
      </w:r>
      <w:r w:rsidR="00CA7EFC">
        <w:rPr>
          <w:rStyle w:val="ui-provider"/>
        </w:rPr>
        <w:t>—</w:t>
      </w:r>
    </w:p>
    <w:p w14:paraId="311C3EAF" w14:textId="4A96B1B2" w:rsidR="00045CB3" w:rsidRPr="00ED5785" w:rsidRDefault="00CA7EFC" w:rsidP="00D55410">
      <w:pPr>
        <w:pStyle w:val="ListBulleted"/>
        <w:numPr>
          <w:ilvl w:val="1"/>
          <w:numId w:val="35"/>
        </w:numPr>
        <w:rPr>
          <w:rStyle w:val="ui-provider"/>
        </w:rPr>
      </w:pPr>
      <w:r>
        <w:rPr>
          <w:rStyle w:val="ui-provider"/>
        </w:rPr>
        <w:t>T</w:t>
      </w:r>
      <w:r w:rsidR="00045CB3" w:rsidRPr="00ED5785">
        <w:rPr>
          <w:rStyle w:val="ui-provider"/>
        </w:rPr>
        <w:t>hree hours of chemical dependency counseling (one hour per month of which shall be individual counseling); and</w:t>
      </w:r>
    </w:p>
    <w:p w14:paraId="239D9718" w14:textId="122BE0D8" w:rsidR="00045CB3" w:rsidRDefault="00CA7EFC" w:rsidP="00D55410">
      <w:pPr>
        <w:pStyle w:val="ListBulleted"/>
        <w:numPr>
          <w:ilvl w:val="1"/>
          <w:numId w:val="35"/>
        </w:numPr>
        <w:rPr>
          <w:rStyle w:val="ui-provider"/>
        </w:rPr>
      </w:pPr>
      <w:r>
        <w:rPr>
          <w:rStyle w:val="ui-provider"/>
        </w:rPr>
        <w:t>T</w:t>
      </w:r>
      <w:r w:rsidR="00045CB3" w:rsidRPr="00ED5785">
        <w:rPr>
          <w:rStyle w:val="ui-provider"/>
        </w:rPr>
        <w:t>hree hours of additional counseling, chemical dependency education, life skills training, and relapse prevention education.</w:t>
      </w:r>
    </w:p>
    <w:bookmarkEnd w:id="7"/>
    <w:p w14:paraId="6FBA2D30" w14:textId="385D7684" w:rsidR="00045CB3" w:rsidRPr="00B3110C" w:rsidRDefault="00CA7EFC" w:rsidP="00D55410">
      <w:pPr>
        <w:pStyle w:val="ListBulleted"/>
        <w:rPr>
          <w:rStyle w:val="ui-provider"/>
        </w:rPr>
      </w:pPr>
      <w:r>
        <w:rPr>
          <w:rStyle w:val="ui-provider"/>
        </w:rPr>
        <w:t>TWC-</w:t>
      </w:r>
      <w:r w:rsidR="00045CB3" w:rsidRPr="00FF2AA3">
        <w:rPr>
          <w:rStyle w:val="ui-provider"/>
        </w:rPr>
        <w:t>VR may purchase up to 90 days of residential treatment, in 30-day increments, when</w:t>
      </w:r>
      <w:r>
        <w:rPr>
          <w:rStyle w:val="ui-provider"/>
        </w:rPr>
        <w:t>—</w:t>
      </w:r>
    </w:p>
    <w:p w14:paraId="5464707D" w14:textId="18A7E937" w:rsidR="00045CB3" w:rsidRPr="00B3110C" w:rsidRDefault="00CA7EFC" w:rsidP="00D55410">
      <w:pPr>
        <w:pStyle w:val="ListBulleted"/>
        <w:numPr>
          <w:ilvl w:val="1"/>
          <w:numId w:val="35"/>
        </w:numPr>
        <w:rPr>
          <w:rStyle w:val="ui-provider"/>
        </w:rPr>
      </w:pPr>
      <w:r>
        <w:rPr>
          <w:rStyle w:val="ui-provider"/>
        </w:rPr>
        <w:t>T</w:t>
      </w:r>
      <w:r w:rsidR="00045CB3" w:rsidRPr="00FF2AA3">
        <w:rPr>
          <w:rStyle w:val="ui-provider"/>
        </w:rPr>
        <w:t xml:space="preserve">he customer demonstrates progress towards established goals and objectives as outlined in the treatment plan and the </w:t>
      </w:r>
      <w:r w:rsidR="00045CB3" w:rsidRPr="00D55410">
        <w:rPr>
          <w:rStyle w:val="ui-provider"/>
          <w:i/>
          <w:iCs/>
        </w:rPr>
        <w:t>Supportive Residential Progress Report</w:t>
      </w:r>
      <w:r w:rsidRPr="00D55410">
        <w:rPr>
          <w:rStyle w:val="ui-provider"/>
          <w:i/>
          <w:iCs/>
        </w:rPr>
        <w:t xml:space="preserve"> (VR3384)</w:t>
      </w:r>
      <w:r w:rsidR="00045CB3">
        <w:rPr>
          <w:rStyle w:val="ui-provider"/>
        </w:rPr>
        <w:t xml:space="preserve">; and </w:t>
      </w:r>
    </w:p>
    <w:p w14:paraId="2C3C5489" w14:textId="2CF2EF45" w:rsidR="00045CB3" w:rsidRPr="00FF2AA3" w:rsidRDefault="00CA7EFC" w:rsidP="00D55410">
      <w:pPr>
        <w:pStyle w:val="ListBulleted"/>
        <w:numPr>
          <w:ilvl w:val="1"/>
          <w:numId w:val="35"/>
        </w:numPr>
        <w:rPr>
          <w:rStyle w:val="ui-provider"/>
        </w:rPr>
      </w:pPr>
      <w:r>
        <w:rPr>
          <w:rStyle w:val="ui-provider"/>
        </w:rPr>
        <w:t>T</w:t>
      </w:r>
      <w:r w:rsidR="00045CB3">
        <w:rPr>
          <w:rStyle w:val="ui-provider"/>
        </w:rPr>
        <w:t xml:space="preserve">he </w:t>
      </w:r>
      <w:r w:rsidR="00045CB3" w:rsidRPr="00B3110C">
        <w:rPr>
          <w:rStyle w:val="ui-provider"/>
        </w:rPr>
        <w:t>customer participate</w:t>
      </w:r>
      <w:r w:rsidR="00045CB3">
        <w:rPr>
          <w:rStyle w:val="ui-provider"/>
        </w:rPr>
        <w:t>s</w:t>
      </w:r>
      <w:r w:rsidR="00045CB3" w:rsidRPr="00B3110C">
        <w:rPr>
          <w:rStyle w:val="ui-provider"/>
        </w:rPr>
        <w:t xml:space="preserve"> in a recovery program, abide</w:t>
      </w:r>
      <w:r>
        <w:rPr>
          <w:rStyle w:val="ui-provider"/>
        </w:rPr>
        <w:t>s</w:t>
      </w:r>
      <w:r w:rsidR="00045CB3" w:rsidRPr="00B3110C">
        <w:rPr>
          <w:rStyle w:val="ui-provider"/>
        </w:rPr>
        <w:t xml:space="preserve"> by residential rules, and </w:t>
      </w:r>
      <w:r>
        <w:rPr>
          <w:rStyle w:val="ui-provider"/>
        </w:rPr>
        <w:t>is</w:t>
      </w:r>
      <w:r w:rsidRPr="00B3110C">
        <w:rPr>
          <w:rStyle w:val="ui-provider"/>
        </w:rPr>
        <w:t xml:space="preserve"> </w:t>
      </w:r>
      <w:r w:rsidR="00045CB3" w:rsidRPr="00B3110C">
        <w:rPr>
          <w:rStyle w:val="ui-provider"/>
        </w:rPr>
        <w:t xml:space="preserve">actively working towards mastering work readiness skills or obtaining </w:t>
      </w:r>
      <w:r>
        <w:rPr>
          <w:rStyle w:val="ui-provider"/>
        </w:rPr>
        <w:t>CIE</w:t>
      </w:r>
      <w:r w:rsidR="00045CB3" w:rsidRPr="00B3110C">
        <w:rPr>
          <w:rStyle w:val="ui-provider"/>
        </w:rPr>
        <w:t xml:space="preserve"> for additional time to be approved.</w:t>
      </w:r>
    </w:p>
    <w:p w14:paraId="2183DF8B" w14:textId="5EBBF183" w:rsidR="00045CB3" w:rsidRPr="00425DFD" w:rsidRDefault="00776D8F" w:rsidP="00D55410">
      <w:pPr>
        <w:pStyle w:val="ListBulleted"/>
        <w:rPr>
          <w:rStyle w:val="ui-provider"/>
        </w:rPr>
      </w:pPr>
      <w:bookmarkStart w:id="8" w:name="_Hlk172733823"/>
      <w:r>
        <w:rPr>
          <w:rStyle w:val="ui-provider"/>
        </w:rPr>
        <w:lastRenderedPageBreak/>
        <w:t>SRSPR</w:t>
      </w:r>
      <w:r w:rsidR="00045CB3">
        <w:rPr>
          <w:rStyle w:val="ui-provider"/>
        </w:rPr>
        <w:t xml:space="preserve"> facilities </w:t>
      </w:r>
      <w:bookmarkEnd w:id="8"/>
      <w:r w:rsidR="00045CB3">
        <w:rPr>
          <w:rStyle w:val="ui-provider"/>
        </w:rPr>
        <w:t xml:space="preserve">may provide </w:t>
      </w:r>
      <w:r w:rsidR="00045CB3" w:rsidRPr="00A6251D">
        <w:rPr>
          <w:rStyle w:val="ui-provider"/>
        </w:rPr>
        <w:t>Personal Social Adjustment Training</w:t>
      </w:r>
      <w:r w:rsidR="00CA7EFC">
        <w:rPr>
          <w:rStyle w:val="ui-provider"/>
        </w:rPr>
        <w:t xml:space="preserve"> (PSAT)</w:t>
      </w:r>
      <w:r w:rsidR="00045CB3" w:rsidRPr="00A6251D">
        <w:rPr>
          <w:rStyle w:val="ui-provider"/>
        </w:rPr>
        <w:t>, Vocational Adjustment Training</w:t>
      </w:r>
      <w:r w:rsidR="00CA7EFC">
        <w:rPr>
          <w:rStyle w:val="ui-provider"/>
        </w:rPr>
        <w:t xml:space="preserve"> (VAT)</w:t>
      </w:r>
      <w:r w:rsidR="00045CB3" w:rsidRPr="00A6251D">
        <w:rPr>
          <w:rStyle w:val="ui-provider"/>
        </w:rPr>
        <w:t xml:space="preserve">, Job Skills Training and Job Placement </w:t>
      </w:r>
      <w:r w:rsidR="00CA7EFC">
        <w:rPr>
          <w:rStyle w:val="ui-provider"/>
        </w:rPr>
        <w:t>S</w:t>
      </w:r>
      <w:r w:rsidR="00CA7EFC" w:rsidRPr="00A6251D">
        <w:rPr>
          <w:rStyle w:val="ui-provider"/>
        </w:rPr>
        <w:t xml:space="preserve">ervices </w:t>
      </w:r>
      <w:r w:rsidR="00045CB3" w:rsidRPr="00A6251D">
        <w:rPr>
          <w:rStyle w:val="ui-provider"/>
        </w:rPr>
        <w:t xml:space="preserve">simultaneously </w:t>
      </w:r>
      <w:r w:rsidR="00045CB3">
        <w:rPr>
          <w:rStyle w:val="ui-provider"/>
        </w:rPr>
        <w:t>when the</w:t>
      </w:r>
      <w:r w:rsidR="00045CB3" w:rsidRPr="005B4A66">
        <w:rPr>
          <w:rStyle w:val="ui-provider"/>
        </w:rPr>
        <w:t xml:space="preserve"> </w:t>
      </w:r>
      <w:r w:rsidR="00045CB3">
        <w:rPr>
          <w:rStyle w:val="ui-provider"/>
        </w:rPr>
        <w:t>S</w:t>
      </w:r>
      <w:r w:rsidR="00C47BD9">
        <w:rPr>
          <w:rStyle w:val="ui-provider"/>
        </w:rPr>
        <w:t>R</w:t>
      </w:r>
      <w:r w:rsidR="00045CB3">
        <w:rPr>
          <w:rStyle w:val="ui-provider"/>
        </w:rPr>
        <w:t xml:space="preserve">SPR facility has a second contract for </w:t>
      </w:r>
      <w:r w:rsidR="00045CB3" w:rsidRPr="00A6251D">
        <w:rPr>
          <w:rStyle w:val="ui-provider"/>
        </w:rPr>
        <w:t>Employment Services</w:t>
      </w:r>
      <w:r w:rsidR="00045CB3">
        <w:rPr>
          <w:rStyle w:val="ui-provider"/>
        </w:rPr>
        <w:t>.</w:t>
      </w:r>
    </w:p>
    <w:p w14:paraId="5B238DD1" w14:textId="26308ADA" w:rsidR="00045CB3" w:rsidRDefault="00776D8F" w:rsidP="00D55410">
      <w:pPr>
        <w:pStyle w:val="ListBulleted"/>
      </w:pPr>
      <w:r>
        <w:t>SRSPR</w:t>
      </w:r>
      <w:r w:rsidR="00045CB3">
        <w:t xml:space="preserve"> </w:t>
      </w:r>
      <w:r w:rsidR="00045CB3" w:rsidRPr="00425DFD">
        <w:t>facilit</w:t>
      </w:r>
      <w:r w:rsidR="00045CB3">
        <w:t>ies</w:t>
      </w:r>
      <w:r w:rsidR="00045CB3" w:rsidRPr="00425DFD">
        <w:t xml:space="preserve"> must report, in writing, any use of a controlled substance that is not prescribed by a physician, to the VR </w:t>
      </w:r>
      <w:r w:rsidR="00CA7EFC">
        <w:t>C</w:t>
      </w:r>
      <w:r w:rsidR="00CA7EFC" w:rsidRPr="00425DFD">
        <w:t xml:space="preserve">ounselor </w:t>
      </w:r>
      <w:r w:rsidR="00045CB3" w:rsidRPr="00425DFD">
        <w:t>within one business day of discovery.</w:t>
      </w:r>
    </w:p>
    <w:p w14:paraId="43E27DBB" w14:textId="18A216EA" w:rsidR="00045CB3" w:rsidRPr="00045CB3" w:rsidRDefault="00CA7EFC" w:rsidP="00D55410">
      <w:pPr>
        <w:pStyle w:val="ListBulleted"/>
      </w:pPr>
      <w:r>
        <w:t>TWC-</w:t>
      </w:r>
      <w:r w:rsidR="00045CB3" w:rsidRPr="00592027">
        <w:t>VR will only pay for days the customer is actively in the facility and will not pay for unexcused or excused absences.</w:t>
      </w:r>
    </w:p>
    <w:p w14:paraId="33F639BA" w14:textId="30EE5FEB" w:rsidR="00C85622" w:rsidRPr="00C85622" w:rsidRDefault="00C85622" w:rsidP="00C85622">
      <w:pPr>
        <w:pStyle w:val="Heading3"/>
      </w:pPr>
      <w:r w:rsidRPr="00FA7A4B">
        <w:rPr>
          <w:shd w:val="clear" w:color="auto" w:fill="FFFFFF"/>
        </w:rPr>
        <w:t>Standards for Providers (SFP)</w:t>
      </w:r>
    </w:p>
    <w:p w14:paraId="04D2F634" w14:textId="79EBAB65" w:rsidR="00C85622" w:rsidRPr="00FA7A4B" w:rsidRDefault="00C85622" w:rsidP="00D55410">
      <w:r w:rsidRPr="00C85622">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11: Supportive Residential Services for Persons in Recovery</w:t>
      </w:r>
      <w:bookmarkEnd w:id="5"/>
      <w:r w:rsidRPr="00C85622">
        <w:rPr>
          <w:shd w:val="clear" w:color="auto" w:fill="FFFFFF"/>
        </w:rPr>
        <w:t>.</w:t>
      </w:r>
    </w:p>
    <w:p w14:paraId="2C3BD09B" w14:textId="79617B0E" w:rsidR="00C85622" w:rsidRPr="007673E4" w:rsidRDefault="00C85622" w:rsidP="00C85622">
      <w:pPr>
        <w:pStyle w:val="Heading3"/>
      </w:pPr>
      <w:r w:rsidRPr="007673E4">
        <w:t>Additional Policy Considerations</w:t>
      </w:r>
    </w:p>
    <w:p w14:paraId="0DBE8821" w14:textId="6FC5C078" w:rsidR="00C85622" w:rsidRPr="00FA7A4B" w:rsidRDefault="00C85622" w:rsidP="00C85622">
      <w:pPr>
        <w:pStyle w:val="ListBulleted"/>
      </w:pPr>
      <w:bookmarkStart w:id="9" w:name="_Hlk169821941"/>
      <w:bookmarkStart w:id="10" w:name="_Hlk170179930"/>
      <w:r w:rsidRPr="00FA7A4B">
        <w:rPr>
          <w:u w:val="single"/>
        </w:rPr>
        <w:t>Comparable Services and Benefits</w:t>
      </w:r>
      <w:r w:rsidRPr="00FA7A4B">
        <w:t xml:space="preserve">: TWC-VR must not expend funds on </w:t>
      </w:r>
      <w:r w:rsidR="00D55410">
        <w:t>SRSPR</w:t>
      </w:r>
      <w:bookmarkStart w:id="11" w:name="_Hlk169819439"/>
      <w:r w:rsidRPr="00FA7A4B">
        <w:t xml:space="preserve"> unless the VR </w:t>
      </w:r>
      <w:r w:rsidR="00731354">
        <w:t>C</w:t>
      </w:r>
      <w:r w:rsidRPr="00FA7A4B">
        <w:t>ounselor and the customer have made maximum efforts to secure comparable services and benefits from other sources to pay for services.</w:t>
      </w:r>
      <w:bookmarkEnd w:id="11"/>
    </w:p>
    <w:p w14:paraId="617907D8" w14:textId="77777777" w:rsidR="00C85622" w:rsidRPr="00FA7A4B" w:rsidRDefault="00C85622" w:rsidP="00C85622">
      <w:pPr>
        <w:pStyle w:val="ListBulleted"/>
      </w:pPr>
      <w:r w:rsidRPr="00FA7A4B">
        <w:rPr>
          <w:u w:val="single"/>
        </w:rPr>
        <w:t>Customer Participation in the Cost of Services</w:t>
      </w:r>
      <w:r w:rsidRPr="00FA7A4B">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B2EC999" w14:textId="77777777" w:rsidR="00C85622" w:rsidRPr="00FA7A4B" w:rsidRDefault="00C85622" w:rsidP="00C85622">
      <w:pPr>
        <w:pStyle w:val="ListBulleted"/>
      </w:pPr>
      <w:bookmarkStart w:id="12" w:name="_Hlk169817564"/>
      <w:bookmarkEnd w:id="9"/>
      <w:r w:rsidRPr="00FA7A4B">
        <w:rPr>
          <w:u w:val="single"/>
        </w:rPr>
        <w:t>Recipients of Social Security Disability Benefits</w:t>
      </w:r>
      <w:r w:rsidRPr="00FA7A4B">
        <w:t>: Recipients of Supplemental Security Income (SSI) or Social Security Disability Insurance (SSDI), due to the customer’s disability, are exempt from the requirement to participate in the cost of TWC-VR services regardless of income.</w:t>
      </w:r>
    </w:p>
    <w:p w14:paraId="4CF8F482" w14:textId="77777777" w:rsidR="00C85622" w:rsidRPr="00FA7A4B" w:rsidRDefault="00C85622" w:rsidP="00C85622">
      <w:pPr>
        <w:pStyle w:val="ListBulleted"/>
      </w:pPr>
      <w:r w:rsidRPr="00FA7A4B">
        <w:rPr>
          <w:u w:val="single"/>
        </w:rPr>
        <w:t>Exceptions to Policy</w:t>
      </w:r>
      <w:r w:rsidRPr="00FA7A4B">
        <w:t xml:space="preserve">: </w:t>
      </w:r>
      <w:bookmarkStart w:id="13" w:name="_Hlk170177184"/>
      <w:r w:rsidRPr="00FA7A4B">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3"/>
    </w:p>
    <w:bookmarkEnd w:id="6"/>
    <w:bookmarkEnd w:id="10"/>
    <w:bookmarkEnd w:id="12"/>
    <w:p w14:paraId="74D70AFB" w14:textId="7D762D70" w:rsidR="00181B0A" w:rsidRPr="00CD1868" w:rsidRDefault="00145D80" w:rsidP="00045CB3">
      <w:pPr>
        <w:pStyle w:val="Heading2"/>
      </w:pPr>
      <w:r>
        <w:lastRenderedPageBreak/>
        <w:t>PROCEDURES</w:t>
      </w:r>
    </w:p>
    <w:p w14:paraId="3962193F" w14:textId="11C76127" w:rsidR="001C3111" w:rsidRDefault="00C85622" w:rsidP="00D55410">
      <w:pPr>
        <w:pStyle w:val="Heading3"/>
        <w:numPr>
          <w:ilvl w:val="0"/>
          <w:numId w:val="90"/>
        </w:numPr>
      </w:pPr>
      <w:bookmarkStart w:id="14" w:name="_Toc131601020"/>
      <w:bookmarkStart w:id="15" w:name="_Toc155866040"/>
      <w:r w:rsidRPr="00CD1868">
        <w:t>De</w:t>
      </w:r>
      <w:r w:rsidR="001C3111">
        <w:t>termining the Need for</w:t>
      </w:r>
      <w:r w:rsidRPr="00CD1868">
        <w:t xml:space="preserve"> </w:t>
      </w:r>
      <w:r w:rsidR="00045CB3">
        <w:t>SRSPR</w:t>
      </w:r>
      <w:bookmarkEnd w:id="14"/>
      <w:bookmarkEnd w:id="15"/>
    </w:p>
    <w:p w14:paraId="0134AD74" w14:textId="41A561EF" w:rsidR="001C3111" w:rsidRPr="001C3111" w:rsidRDefault="001C3111" w:rsidP="001C3111">
      <w:pPr>
        <w:autoSpaceDE w:val="0"/>
        <w:autoSpaceDN w:val="0"/>
        <w:adjustRightInd w:val="0"/>
      </w:pPr>
      <w:r w:rsidRPr="258F602B">
        <w:t xml:space="preserve">The VR Counselor and the customer may determine that </w:t>
      </w:r>
      <w:r w:rsidRPr="004C0ABD">
        <w:t>SRSPR</w:t>
      </w:r>
      <w:r w:rsidRPr="258F602B">
        <w:t xml:space="preserve"> are necessary </w:t>
      </w:r>
      <w:r>
        <w:t xml:space="preserve">when the customer </w:t>
      </w:r>
      <w:r w:rsidRPr="00D75B09">
        <w:t xml:space="preserve">is </w:t>
      </w:r>
      <w:r>
        <w:t xml:space="preserve">in </w:t>
      </w:r>
      <w:r w:rsidRPr="00D75B09">
        <w:t>recovery</w:t>
      </w:r>
      <w:r>
        <w:t xml:space="preserve"> and needs </w:t>
      </w:r>
      <w:r>
        <w:rPr>
          <w:rStyle w:val="ui-provider"/>
        </w:rPr>
        <w:t xml:space="preserve">a supervised, stable living environment, with additional supports </w:t>
      </w:r>
      <w:r w:rsidRPr="00D75B09">
        <w:t xml:space="preserve">to maintain stability, control, and abstinence from use of substances so they will be able to gain </w:t>
      </w:r>
      <w:r>
        <w:t xml:space="preserve">and maintain </w:t>
      </w:r>
      <w:r w:rsidR="00CA7EFC">
        <w:t>CIE</w:t>
      </w:r>
      <w:r w:rsidRPr="00D75B09">
        <w:t>.</w:t>
      </w:r>
    </w:p>
    <w:p w14:paraId="4A16D385" w14:textId="491F9895" w:rsidR="00C85622" w:rsidRPr="00CD1868" w:rsidRDefault="00C85622" w:rsidP="001C3111">
      <w:pPr>
        <w:pStyle w:val="ListBulleted"/>
        <w:numPr>
          <w:ilvl w:val="0"/>
          <w:numId w:val="0"/>
        </w:numPr>
      </w:pPr>
      <w:r w:rsidRPr="00CD1868">
        <w:t>S</w:t>
      </w:r>
      <w:r w:rsidR="00D55410">
        <w:t>RSPR</w:t>
      </w:r>
      <w:r w:rsidRPr="00CD1868">
        <w:t xml:space="preserve"> may include the following:</w:t>
      </w:r>
    </w:p>
    <w:p w14:paraId="47A8B455" w14:textId="3265A644" w:rsidR="00C85622" w:rsidRPr="00CD1868" w:rsidRDefault="00C85622" w:rsidP="001C3111">
      <w:pPr>
        <w:pStyle w:val="ListBulleted"/>
      </w:pPr>
      <w:r w:rsidRPr="00A8104C">
        <w:rPr>
          <w:u w:val="single"/>
        </w:rPr>
        <w:t xml:space="preserve">Room, </w:t>
      </w:r>
      <w:r w:rsidR="00CA7EFC" w:rsidRPr="00A8104C">
        <w:rPr>
          <w:u w:val="single"/>
        </w:rPr>
        <w:t>B</w:t>
      </w:r>
      <w:r w:rsidRPr="00A8104C">
        <w:rPr>
          <w:u w:val="single"/>
        </w:rPr>
        <w:t xml:space="preserve">oard, and </w:t>
      </w:r>
      <w:r w:rsidR="00CA7EFC" w:rsidRPr="00A8104C">
        <w:rPr>
          <w:u w:val="single"/>
        </w:rPr>
        <w:t>S</w:t>
      </w:r>
      <w:r w:rsidRPr="00A8104C">
        <w:rPr>
          <w:u w:val="single"/>
        </w:rPr>
        <w:t xml:space="preserve">upervised </w:t>
      </w:r>
      <w:r w:rsidR="00CA7EFC" w:rsidRPr="00A8104C">
        <w:rPr>
          <w:u w:val="single"/>
        </w:rPr>
        <w:t>L</w:t>
      </w:r>
      <w:r w:rsidRPr="00A8104C">
        <w:rPr>
          <w:u w:val="single"/>
        </w:rPr>
        <w:t>iving</w:t>
      </w:r>
      <w:r w:rsidRPr="00CD1868">
        <w:t>: Allows the individual recently in recovery to have a supervised environment in which to maintain sobriety while also saving money earned on a job to obtain a new residence</w:t>
      </w:r>
      <w:r>
        <w:t>;</w:t>
      </w:r>
    </w:p>
    <w:p w14:paraId="2E1AECB5" w14:textId="537C73A3" w:rsidR="00C85622" w:rsidRPr="00CD1868" w:rsidRDefault="00C85622" w:rsidP="001C3111">
      <w:pPr>
        <w:pStyle w:val="ListBulleted"/>
      </w:pPr>
      <w:r w:rsidRPr="00D55410">
        <w:rPr>
          <w:u w:val="single"/>
        </w:rPr>
        <w:t xml:space="preserve">Coping </w:t>
      </w:r>
      <w:r w:rsidR="00CA7EFC" w:rsidRPr="00D55410">
        <w:rPr>
          <w:u w:val="single"/>
        </w:rPr>
        <w:t>Skills</w:t>
      </w:r>
      <w:r w:rsidRPr="00CD1868">
        <w:t>: Helps the individual in recovery learn to deal with work and social difficulties without drugs or alcohol</w:t>
      </w:r>
      <w:r w:rsidR="00CA7EFC">
        <w:t>;</w:t>
      </w:r>
    </w:p>
    <w:p w14:paraId="59F7AEB3" w14:textId="30ADFB45" w:rsidR="00C85622" w:rsidRPr="00CD1868" w:rsidRDefault="00C85622" w:rsidP="001C3111">
      <w:pPr>
        <w:pStyle w:val="ListBulleted"/>
      </w:pPr>
      <w:r w:rsidRPr="00D55410">
        <w:rPr>
          <w:u w:val="single"/>
        </w:rPr>
        <w:t xml:space="preserve">Connecting with </w:t>
      </w:r>
      <w:r w:rsidR="00CA7EFC" w:rsidRPr="00D55410">
        <w:rPr>
          <w:u w:val="single"/>
        </w:rPr>
        <w:t>Local R</w:t>
      </w:r>
      <w:r w:rsidRPr="00D55410">
        <w:rPr>
          <w:u w:val="single"/>
        </w:rPr>
        <w:t>esources</w:t>
      </w:r>
      <w:r w:rsidRPr="00CD1868">
        <w:t xml:space="preserve">: Helps the individual become connected with medical and treatment programs to enable continued stability after leaving the </w:t>
      </w:r>
      <w:r w:rsidR="00D55410">
        <w:t>facility</w:t>
      </w:r>
      <w:r w:rsidR="00D55410" w:rsidRPr="00CD1868">
        <w:t xml:space="preserve"> and</w:t>
      </w:r>
      <w:r w:rsidRPr="00CD1868">
        <w:t xml:space="preserve"> after </w:t>
      </w:r>
      <w:r w:rsidR="00CA7EFC">
        <w:t>TWC-</w:t>
      </w:r>
      <w:r w:rsidRPr="00CD1868">
        <w:t>VR services are completed</w:t>
      </w:r>
      <w:r w:rsidR="00CA7EFC">
        <w:t>;</w:t>
      </w:r>
    </w:p>
    <w:p w14:paraId="37A5CEB0" w14:textId="7F8A14EF" w:rsidR="00971748" w:rsidRDefault="00971748" w:rsidP="00971748">
      <w:pPr>
        <w:pStyle w:val="Heading3"/>
      </w:pPr>
      <w:bookmarkStart w:id="16" w:name="_Toc131579111"/>
      <w:bookmarkStart w:id="17" w:name="_Toc155865639"/>
      <w:r w:rsidRPr="00B933ED">
        <w:t>Referral</w:t>
      </w:r>
      <w:bookmarkEnd w:id="16"/>
      <w:bookmarkEnd w:id="17"/>
      <w:r w:rsidRPr="00B933ED">
        <w:t xml:space="preserve"> and Service Provision</w:t>
      </w:r>
      <w:bookmarkStart w:id="18" w:name="_Hlk168950273"/>
    </w:p>
    <w:p w14:paraId="47C9B40A" w14:textId="10D0547A" w:rsidR="00971748" w:rsidRDefault="00971748" w:rsidP="00D55410">
      <w:r w:rsidRPr="00D8530A">
        <w:t xml:space="preserve">When the VR </w:t>
      </w:r>
      <w:r>
        <w:t>C</w:t>
      </w:r>
      <w:r w:rsidRPr="00D8530A">
        <w:t xml:space="preserve">ounselor and customer agree to the receipt of </w:t>
      </w:r>
      <w:r>
        <w:t>S</w:t>
      </w:r>
      <w:r w:rsidR="00D55410">
        <w:t>R</w:t>
      </w:r>
      <w:r>
        <w:t>SPR</w:t>
      </w:r>
      <w:r w:rsidRPr="00D8530A">
        <w:t xml:space="preserve">, it must be included in the Individualized Plan for Employment (IPE), </w:t>
      </w:r>
      <w:r>
        <w:t xml:space="preserve">or </w:t>
      </w:r>
      <w:r w:rsidRPr="00D8530A">
        <w:t>IPE amendment</w:t>
      </w:r>
      <w:r>
        <w:t>.</w:t>
      </w:r>
      <w:r w:rsidRPr="00380BAA">
        <w:t xml:space="preserve"> </w:t>
      </w:r>
    </w:p>
    <w:p w14:paraId="200CC86A" w14:textId="77777777" w:rsidR="00971748" w:rsidRPr="00D8530A" w:rsidRDefault="00971748" w:rsidP="00D55410">
      <w:r w:rsidRPr="00D8530A">
        <w:t xml:space="preserve">The </w:t>
      </w:r>
      <w:r>
        <w:t>VR Counselor must</w:t>
      </w:r>
      <w:r w:rsidRPr="00D8530A">
        <w:t xml:space="preserve">— </w:t>
      </w:r>
      <w:bookmarkStart w:id="19" w:name="_Hlk168467138"/>
      <w:bookmarkEnd w:id="18"/>
    </w:p>
    <w:p w14:paraId="257149C0" w14:textId="2CB43C18" w:rsidR="00971748" w:rsidRDefault="00971748" w:rsidP="00D55410">
      <w:pPr>
        <w:pStyle w:val="ListBulleted"/>
      </w:pPr>
      <w:bookmarkStart w:id="20" w:name="_Hlk168950305"/>
      <w:r w:rsidRPr="002077AD">
        <w:t xml:space="preserve">Complete the </w:t>
      </w:r>
      <w:r w:rsidRPr="0056495A">
        <w:rPr>
          <w:i/>
          <w:iCs/>
        </w:rPr>
        <w:t xml:space="preserve">Referral for </w:t>
      </w:r>
      <w:r w:rsidR="004F09A4" w:rsidRPr="0056495A">
        <w:rPr>
          <w:i/>
          <w:iCs/>
        </w:rPr>
        <w:t>P</w:t>
      </w:r>
      <w:r w:rsidRPr="0056495A">
        <w:rPr>
          <w:i/>
          <w:iCs/>
        </w:rPr>
        <w:t xml:space="preserve">rovider </w:t>
      </w:r>
      <w:r w:rsidR="004F09A4" w:rsidRPr="0056495A">
        <w:rPr>
          <w:i/>
          <w:iCs/>
        </w:rPr>
        <w:t>S</w:t>
      </w:r>
      <w:r w:rsidRPr="0056495A">
        <w:rPr>
          <w:i/>
          <w:iCs/>
        </w:rPr>
        <w:t>ervices (VR500</w:t>
      </w:r>
      <w:r w:rsidR="004F09A4" w:rsidRPr="0056495A">
        <w:rPr>
          <w:i/>
          <w:iCs/>
        </w:rPr>
        <w:t>0</w:t>
      </w:r>
      <w:r w:rsidRPr="0056495A">
        <w:rPr>
          <w:i/>
          <w:iCs/>
        </w:rPr>
        <w:t>)</w:t>
      </w:r>
      <w:r w:rsidRPr="002077AD">
        <w:t xml:space="preserve">; </w:t>
      </w:r>
    </w:p>
    <w:p w14:paraId="062709EB" w14:textId="1C02E05A" w:rsidR="00971748" w:rsidRPr="00D8530A" w:rsidRDefault="00971748" w:rsidP="00D55410">
      <w:pPr>
        <w:pStyle w:val="ListBulleted"/>
      </w:pPr>
      <w:r w:rsidRPr="258F602B">
        <w:t>Provide documentation (only when relevant), such as case notes; psychological, vocational, or medical evaluations</w:t>
      </w:r>
      <w:r>
        <w:t xml:space="preserve"> </w:t>
      </w:r>
      <w:r>
        <w:rPr>
          <w:rStyle w:val="ui-provider"/>
        </w:rPr>
        <w:t xml:space="preserve">case notes, vocational testing, housing, and/or employment data collected by </w:t>
      </w:r>
      <w:r w:rsidR="00CA7EFC">
        <w:rPr>
          <w:rStyle w:val="ui-provider"/>
        </w:rPr>
        <w:t>TWC-</w:t>
      </w:r>
      <w:r>
        <w:rPr>
          <w:rStyle w:val="ui-provider"/>
        </w:rPr>
        <w:t>VR that prepare</w:t>
      </w:r>
      <w:r w:rsidR="00CA7EFC">
        <w:rPr>
          <w:rStyle w:val="ui-provider"/>
        </w:rPr>
        <w:t>s</w:t>
      </w:r>
      <w:r>
        <w:rPr>
          <w:rStyle w:val="ui-provider"/>
        </w:rPr>
        <w:t xml:space="preserve"> the provider to better work with the customer as applicable</w:t>
      </w:r>
      <w:r w:rsidRPr="258F602B">
        <w:t>;</w:t>
      </w:r>
    </w:p>
    <w:bookmarkEnd w:id="19"/>
    <w:bookmarkEnd w:id="20"/>
    <w:p w14:paraId="7651815A" w14:textId="63825EB4" w:rsidR="00971748" w:rsidRPr="00D8530A" w:rsidRDefault="00971748" w:rsidP="00D55410">
      <w:pPr>
        <w:pStyle w:val="ListBulleted"/>
      </w:pPr>
      <w:r w:rsidRPr="258F602B">
        <w:t xml:space="preserve">Ensure TWC-VR staff send the </w:t>
      </w:r>
      <w:r w:rsidR="00CA7EFC">
        <w:t>service authorization (SA)</w:t>
      </w:r>
      <w:r w:rsidRPr="005536DC">
        <w:t xml:space="preserve"> </w:t>
      </w:r>
      <w:r>
        <w:t>(</w:t>
      </w:r>
      <w:r w:rsidRPr="005536DC">
        <w:t>for up to 30 days</w:t>
      </w:r>
      <w:r>
        <w:t>)</w:t>
      </w:r>
      <w:r w:rsidRPr="258F602B">
        <w:t xml:space="preserve"> and </w:t>
      </w:r>
      <w:r w:rsidR="00CA7EFC">
        <w:t xml:space="preserve">the </w:t>
      </w:r>
      <w:r>
        <w:rPr>
          <w:i/>
          <w:iCs/>
        </w:rPr>
        <w:t>VR5000</w:t>
      </w:r>
      <w:r w:rsidR="00CA7EFC">
        <w:rPr>
          <w:i/>
          <w:iCs/>
        </w:rPr>
        <w:t>;</w:t>
      </w:r>
    </w:p>
    <w:p w14:paraId="2FDC625E" w14:textId="77777777" w:rsidR="00971748" w:rsidRPr="00D8530A" w:rsidRDefault="00971748" w:rsidP="00D55410">
      <w:pPr>
        <w:pStyle w:val="ListBulleted"/>
      </w:pPr>
      <w:r w:rsidRPr="258F602B">
        <w:t>Monitor the customer's progress;</w:t>
      </w:r>
    </w:p>
    <w:p w14:paraId="34B66F9D" w14:textId="77777777" w:rsidR="00971748" w:rsidRPr="00D8530A" w:rsidRDefault="00971748" w:rsidP="00D55410">
      <w:pPr>
        <w:pStyle w:val="ListBulleted"/>
      </w:pPr>
      <w:r w:rsidRPr="258F602B">
        <w:t>Provide any needed instruction or intervention necessary to foster the customer's success;</w:t>
      </w:r>
    </w:p>
    <w:p w14:paraId="55E4AE1B" w14:textId="07BAB50A" w:rsidR="00971748" w:rsidRPr="00D8530A" w:rsidRDefault="00971748" w:rsidP="00D55410">
      <w:pPr>
        <w:pStyle w:val="ListBulleted"/>
      </w:pPr>
      <w:bookmarkStart w:id="21" w:name="_Hlk168951623"/>
      <w:r w:rsidRPr="258F602B">
        <w:t>Review and approve</w:t>
      </w:r>
      <w:r w:rsidRPr="00652ADD">
        <w:t xml:space="preserve"> </w:t>
      </w:r>
      <w:r w:rsidR="00731354">
        <w:t xml:space="preserve">the </w:t>
      </w:r>
      <w:r w:rsidRPr="00D55410">
        <w:rPr>
          <w:i/>
          <w:iCs/>
        </w:rPr>
        <w:t>VR3384</w:t>
      </w:r>
      <w:r w:rsidRPr="258F602B">
        <w:t xml:space="preserve"> completed by the contractor, ensuring that all outcomes required for payment are achieved and that the staff qualifications were held by the individual providing the service to the customer; and</w:t>
      </w:r>
    </w:p>
    <w:p w14:paraId="40F81401" w14:textId="77777777" w:rsidR="00971748" w:rsidRDefault="00971748" w:rsidP="00D55410">
      <w:pPr>
        <w:pStyle w:val="ListBulleted"/>
      </w:pPr>
      <w:r w:rsidRPr="00D8530A">
        <w:lastRenderedPageBreak/>
        <w:t>Ensure that the invoice is paid.</w:t>
      </w:r>
    </w:p>
    <w:bookmarkEnd w:id="21"/>
    <w:p w14:paraId="08244E2C" w14:textId="77777777" w:rsidR="00971748" w:rsidRPr="00D8530A" w:rsidRDefault="00971748" w:rsidP="00D55410">
      <w:r w:rsidRPr="00D8530A">
        <w:t>The contractor</w:t>
      </w:r>
      <w:r>
        <w:t xml:space="preserve"> must</w:t>
      </w:r>
      <w:r w:rsidRPr="00D8530A">
        <w:t>—</w:t>
      </w:r>
    </w:p>
    <w:p w14:paraId="73D79F5C" w14:textId="662552F7" w:rsidR="00971748" w:rsidRPr="004A1EFD" w:rsidRDefault="00731354" w:rsidP="00D55410">
      <w:pPr>
        <w:pStyle w:val="ListBulleted"/>
      </w:pPr>
      <w:r>
        <w:t>D</w:t>
      </w:r>
      <w:r w:rsidR="00971748" w:rsidRPr="004A1EFD">
        <w:t xml:space="preserve">ocument information required by the service description on the </w:t>
      </w:r>
      <w:r w:rsidR="00971748" w:rsidRPr="00D55410">
        <w:rPr>
          <w:i/>
          <w:iCs/>
        </w:rPr>
        <w:t>VR3384</w:t>
      </w:r>
      <w:r w:rsidR="00971748">
        <w:t xml:space="preserve"> every 30 days</w:t>
      </w:r>
      <w:r w:rsidR="00971748" w:rsidRPr="004A1EFD">
        <w:t>, including evidence that</w:t>
      </w:r>
      <w:r>
        <w:t>—</w:t>
      </w:r>
    </w:p>
    <w:p w14:paraId="32098129" w14:textId="193A15A7" w:rsidR="00971748" w:rsidRPr="00523AE8" w:rsidRDefault="00971748" w:rsidP="00D55410">
      <w:pPr>
        <w:pStyle w:val="ListBulleted"/>
        <w:numPr>
          <w:ilvl w:val="1"/>
          <w:numId w:val="35"/>
        </w:numPr>
      </w:pPr>
      <w:bookmarkStart w:id="22" w:name="_Hlk172735517"/>
      <w:r w:rsidRPr="00523AE8">
        <w:t>SRSPR</w:t>
      </w:r>
      <w:bookmarkEnd w:id="22"/>
      <w:r w:rsidRPr="00523AE8">
        <w:t xml:space="preserve"> direct care staff-to-customer ratio must be at least 1:20 when customers are awake and 1:50 during sleeping hours</w:t>
      </w:r>
      <w:r w:rsidR="00731354">
        <w:t>;</w:t>
      </w:r>
    </w:p>
    <w:p w14:paraId="31ACDBBC" w14:textId="15F2EC7C" w:rsidR="00971748" w:rsidRPr="001241F4" w:rsidRDefault="00731354" w:rsidP="00D55410">
      <w:pPr>
        <w:pStyle w:val="ListBulleted"/>
        <w:numPr>
          <w:ilvl w:val="1"/>
          <w:numId w:val="35"/>
        </w:numPr>
      </w:pPr>
      <w:r>
        <w:t>T</w:t>
      </w:r>
      <w:r w:rsidRPr="001241F4">
        <w:t xml:space="preserve">he </w:t>
      </w:r>
      <w:r w:rsidR="00971748" w:rsidRPr="001241F4">
        <w:t>customer's attendance at the facility without elopement or unauthorized weekend passes outside the scope of recovery was recorded;</w:t>
      </w:r>
    </w:p>
    <w:p w14:paraId="4F768CF8" w14:textId="40F787EE" w:rsidR="00971748" w:rsidRDefault="00731354" w:rsidP="00D55410">
      <w:pPr>
        <w:pStyle w:val="ListBulleted"/>
        <w:numPr>
          <w:ilvl w:val="1"/>
          <w:numId w:val="35"/>
        </w:numPr>
      </w:pPr>
      <w:r>
        <w:t>T</w:t>
      </w:r>
      <w:r w:rsidRPr="001241F4">
        <w:t xml:space="preserve">he </w:t>
      </w:r>
      <w:r w:rsidR="00971748" w:rsidRPr="001241F4">
        <w:t>customer's attendance in at least the six hours of required treatment services each week was recorded</w:t>
      </w:r>
      <w:r>
        <w:t>, including—</w:t>
      </w:r>
    </w:p>
    <w:p w14:paraId="120ADF7D" w14:textId="73269990" w:rsidR="00971748" w:rsidRPr="00F540C1" w:rsidRDefault="00731354" w:rsidP="00D55410">
      <w:pPr>
        <w:pStyle w:val="ListBulleted"/>
        <w:numPr>
          <w:ilvl w:val="2"/>
          <w:numId w:val="35"/>
        </w:numPr>
      </w:pPr>
      <w:r>
        <w:t>T</w:t>
      </w:r>
      <w:r w:rsidRPr="00F540C1">
        <w:t xml:space="preserve">hree </w:t>
      </w:r>
      <w:r w:rsidR="00971748" w:rsidRPr="00F540C1">
        <w:t>hours of chemical dependency counseling (one hour per month of which shall be individual counseling); and</w:t>
      </w:r>
    </w:p>
    <w:p w14:paraId="462C6646" w14:textId="2ADE1CEE" w:rsidR="00971748" w:rsidRPr="001241F4" w:rsidRDefault="00731354" w:rsidP="00D55410">
      <w:pPr>
        <w:pStyle w:val="ListBulleted"/>
        <w:numPr>
          <w:ilvl w:val="2"/>
          <w:numId w:val="35"/>
        </w:numPr>
      </w:pPr>
      <w:r>
        <w:t>T</w:t>
      </w:r>
      <w:r w:rsidRPr="00F540C1">
        <w:t xml:space="preserve">hree </w:t>
      </w:r>
      <w:r w:rsidR="00971748" w:rsidRPr="00F540C1">
        <w:t>hours of additional counseling, chemical dependency education, life skills training, and relapse prevention education</w:t>
      </w:r>
      <w:r>
        <w:t>;</w:t>
      </w:r>
    </w:p>
    <w:p w14:paraId="305C572F" w14:textId="2608946E" w:rsidR="00971748" w:rsidRPr="001241F4" w:rsidRDefault="00731354" w:rsidP="00D55410">
      <w:pPr>
        <w:pStyle w:val="ListBulleted"/>
        <w:numPr>
          <w:ilvl w:val="1"/>
          <w:numId w:val="35"/>
        </w:numPr>
      </w:pPr>
      <w:r>
        <w:t>T</w:t>
      </w:r>
      <w:r w:rsidR="00971748" w:rsidRPr="001241F4">
        <w:t>he customer is abstaining from any controlled substances and maintaining medication as prescribed;</w:t>
      </w:r>
    </w:p>
    <w:p w14:paraId="6189720D" w14:textId="3232FBC1" w:rsidR="00971748" w:rsidRPr="001241F4" w:rsidRDefault="00731354" w:rsidP="00D55410">
      <w:pPr>
        <w:pStyle w:val="ListBulleted"/>
        <w:numPr>
          <w:ilvl w:val="1"/>
          <w:numId w:val="35"/>
        </w:numPr>
      </w:pPr>
      <w:r>
        <w:t>T</w:t>
      </w:r>
      <w:r w:rsidR="00971748" w:rsidRPr="001241F4">
        <w:t>he customer is maintaining adherence to residential rules;</w:t>
      </w:r>
      <w:r>
        <w:t xml:space="preserve"> </w:t>
      </w:r>
      <w:r w:rsidR="00971748">
        <w:t>and</w:t>
      </w:r>
    </w:p>
    <w:p w14:paraId="70E93D9A" w14:textId="7EA749AC" w:rsidR="00971748" w:rsidRPr="00F540C1" w:rsidRDefault="00731354" w:rsidP="00D55410">
      <w:pPr>
        <w:pStyle w:val="ListBulleted"/>
        <w:numPr>
          <w:ilvl w:val="1"/>
          <w:numId w:val="35"/>
        </w:numPr>
      </w:pPr>
      <w:r>
        <w:t>G</w:t>
      </w:r>
      <w:r w:rsidR="00971748" w:rsidRPr="001241F4">
        <w:t xml:space="preserve">oals and objectives identified in the treatment plan were addressed and progress documented on the </w:t>
      </w:r>
      <w:r w:rsidR="00971748" w:rsidRPr="00D55410">
        <w:rPr>
          <w:i/>
          <w:iCs/>
        </w:rPr>
        <w:t>VR3384</w:t>
      </w:r>
      <w:r w:rsidR="00971748">
        <w:t>.</w:t>
      </w:r>
    </w:p>
    <w:p w14:paraId="351C5015" w14:textId="17DD7822" w:rsidR="00971748" w:rsidRDefault="00971748" w:rsidP="00971748">
      <w:pPr>
        <w:pStyle w:val="Heading3"/>
      </w:pPr>
      <w:r w:rsidRPr="258F602B">
        <w:t>Customer's Satisfaction</w:t>
      </w:r>
    </w:p>
    <w:p w14:paraId="3EED37D4" w14:textId="3F53BF7D" w:rsidR="00971748" w:rsidRPr="00D8530A" w:rsidRDefault="00971748" w:rsidP="00D55410">
      <w:r w:rsidRPr="258F602B">
        <w:t xml:space="preserve">The customer's satisfaction and service delivery </w:t>
      </w:r>
      <w:r w:rsidR="004F09A4">
        <w:t>are</w:t>
      </w:r>
      <w:r w:rsidR="004F09A4" w:rsidRPr="258F602B">
        <w:t xml:space="preserve"> </w:t>
      </w:r>
      <w:r w:rsidRPr="258F602B">
        <w:t xml:space="preserve">verified by the customer's signature on </w:t>
      </w:r>
      <w:r w:rsidRPr="00971748">
        <w:rPr>
          <w:i/>
          <w:iCs/>
        </w:rPr>
        <w:t xml:space="preserve">VR3384 </w:t>
      </w:r>
      <w:r w:rsidRPr="258F602B">
        <w:t xml:space="preserve">or by the TWC-VR staff member’s contact with the customer, documented in a case note. </w:t>
      </w:r>
    </w:p>
    <w:p w14:paraId="186F9326" w14:textId="4F8F4A73" w:rsidR="00971748" w:rsidRDefault="00971748" w:rsidP="00971748">
      <w:pPr>
        <w:pStyle w:val="Heading3"/>
      </w:pPr>
      <w:r w:rsidRPr="00F540C1">
        <w:t xml:space="preserve">SRSPR </w:t>
      </w:r>
      <w:r w:rsidRPr="258F602B">
        <w:t>Payment</w:t>
      </w:r>
    </w:p>
    <w:p w14:paraId="2D8395A9" w14:textId="600794D2" w:rsidR="00971748" w:rsidRPr="00D8530A" w:rsidRDefault="00971748" w:rsidP="00D55410">
      <w:r w:rsidRPr="258F602B">
        <w:t xml:space="preserve">Payment for </w:t>
      </w:r>
      <w:r w:rsidRPr="00F540C1">
        <w:t xml:space="preserve">SRSPR </w:t>
      </w:r>
      <w:r w:rsidRPr="258F602B">
        <w:t>is made to the contractor when the VR Counselor approves a completed, accurate, signed, and dated—</w:t>
      </w:r>
    </w:p>
    <w:p w14:paraId="2C113F79" w14:textId="77777777" w:rsidR="00971748" w:rsidRPr="00D8530A" w:rsidRDefault="00971748" w:rsidP="00D55410">
      <w:pPr>
        <w:pStyle w:val="ListBulleted"/>
      </w:pPr>
      <w:r w:rsidRPr="00D55410">
        <w:rPr>
          <w:i/>
          <w:iCs/>
        </w:rPr>
        <w:t>VR3384</w:t>
      </w:r>
      <w:r w:rsidRPr="00D8530A">
        <w:t>;</w:t>
      </w:r>
      <w:r>
        <w:t xml:space="preserve"> </w:t>
      </w:r>
      <w:r w:rsidRPr="00D8530A">
        <w:t>and</w:t>
      </w:r>
    </w:p>
    <w:p w14:paraId="2CBCDEF3" w14:textId="77777777" w:rsidR="00971748" w:rsidRPr="00D8530A" w:rsidRDefault="00971748" w:rsidP="00D55410">
      <w:pPr>
        <w:pStyle w:val="ListBulleted"/>
      </w:pPr>
      <w:r w:rsidRPr="00D8530A">
        <w:t>The invoice.</w:t>
      </w:r>
    </w:p>
    <w:p w14:paraId="50D6D98A" w14:textId="72C2434B" w:rsidR="00971748" w:rsidRPr="00CD1868" w:rsidRDefault="00971748" w:rsidP="00D55410">
      <w:r w:rsidRPr="00D8530A">
        <w:t>TWC-VR will not pay any fees related to excused or unexcused absences or holidays.</w:t>
      </w:r>
    </w:p>
    <w:p w14:paraId="424771A3" w14:textId="5817096D" w:rsidR="00145D80" w:rsidRDefault="009033A9" w:rsidP="00DF5CB7">
      <w:pPr>
        <w:pStyle w:val="Heading2"/>
      </w:pPr>
      <w:r>
        <w:lastRenderedPageBreak/>
        <w:t>APPROVALS &amp; CONSULTATIONS</w:t>
      </w:r>
    </w:p>
    <w:p w14:paraId="24A8889C" w14:textId="77777777" w:rsidR="00580991" w:rsidRPr="0054062B" w:rsidRDefault="00580991" w:rsidP="00895186">
      <w:r w:rsidRPr="0054062B">
        <w:t xml:space="preserve">TWC-VR staff must follow the following approvals and consultations: </w:t>
      </w:r>
    </w:p>
    <w:p w14:paraId="01B19976" w14:textId="5AAD7369" w:rsidR="00971748" w:rsidRDefault="00971748" w:rsidP="00971748">
      <w:pPr>
        <w:numPr>
          <w:ilvl w:val="0"/>
          <w:numId w:val="26"/>
        </w:numPr>
        <w:autoSpaceDE w:val="0"/>
        <w:autoSpaceDN w:val="0"/>
        <w:adjustRightInd w:val="0"/>
        <w:rPr>
          <w:i/>
          <w:iCs/>
          <w:lang w:eastAsia="ja-JP"/>
        </w:rPr>
      </w:pPr>
      <w:r w:rsidRPr="258F602B">
        <w:rPr>
          <w:i/>
          <w:iCs/>
          <w:lang w:eastAsia="ja-JP"/>
        </w:rPr>
        <w:t xml:space="preserve">VR Director approval is required for any request to change requirements </w:t>
      </w:r>
      <w:r w:rsidRPr="00F540C1">
        <w:rPr>
          <w:i/>
          <w:iCs/>
          <w:lang w:eastAsia="ja-JP"/>
        </w:rPr>
        <w:t xml:space="preserve">SRSPR </w:t>
      </w:r>
      <w:r w:rsidRPr="258F602B">
        <w:rPr>
          <w:i/>
          <w:iCs/>
          <w:lang w:eastAsia="ja-JP"/>
        </w:rPr>
        <w:t xml:space="preserve">using </w:t>
      </w:r>
      <w:r w:rsidR="004F09A4">
        <w:rPr>
          <w:i/>
          <w:iCs/>
          <w:lang w:eastAsia="ja-JP"/>
        </w:rPr>
        <w:t xml:space="preserve">the </w:t>
      </w:r>
      <w:r w:rsidR="004F09A4" w:rsidRPr="00315568">
        <w:rPr>
          <w:i/>
          <w:iCs/>
          <w:lang w:eastAsia="ja-JP"/>
        </w:rPr>
        <w:t>Contracted Service Modification Request</w:t>
      </w:r>
      <w:r w:rsidR="004F09A4" w:rsidRPr="258F602B">
        <w:rPr>
          <w:i/>
          <w:iCs/>
          <w:lang w:eastAsia="ja-JP"/>
        </w:rPr>
        <w:t xml:space="preserve"> </w:t>
      </w:r>
      <w:r w:rsidR="004F09A4">
        <w:rPr>
          <w:i/>
          <w:iCs/>
          <w:lang w:eastAsia="ja-JP"/>
        </w:rPr>
        <w:t>(</w:t>
      </w:r>
      <w:r w:rsidRPr="258F602B">
        <w:rPr>
          <w:i/>
          <w:iCs/>
          <w:lang w:eastAsia="ja-JP"/>
        </w:rPr>
        <w:t>VR3472</w:t>
      </w:r>
      <w:r w:rsidR="004F09A4">
        <w:rPr>
          <w:i/>
          <w:iCs/>
          <w:lang w:eastAsia="ja-JP"/>
        </w:rPr>
        <w:t>)</w:t>
      </w:r>
      <w:r w:rsidRPr="258F602B">
        <w:rPr>
          <w:i/>
          <w:iCs/>
          <w:lang w:eastAsia="ja-JP"/>
        </w:rPr>
        <w:t xml:space="preserve"> prior to changes being implemented.</w:t>
      </w:r>
    </w:p>
    <w:p w14:paraId="15590489" w14:textId="44F064A3" w:rsidR="00971748" w:rsidRPr="00315568" w:rsidRDefault="00971748" w:rsidP="00971748">
      <w:pPr>
        <w:numPr>
          <w:ilvl w:val="0"/>
          <w:numId w:val="26"/>
        </w:numPr>
        <w:autoSpaceDE w:val="0"/>
        <w:autoSpaceDN w:val="0"/>
        <w:adjustRightInd w:val="0"/>
        <w:rPr>
          <w:i/>
          <w:iCs/>
          <w:lang w:eastAsia="ja-JP"/>
        </w:rPr>
      </w:pPr>
      <w:r w:rsidRPr="00315568">
        <w:rPr>
          <w:i/>
          <w:iCs/>
          <w:lang w:eastAsia="ja-JP"/>
        </w:rPr>
        <w:t>If there is a need for VR</w:t>
      </w:r>
      <w:r w:rsidR="004F09A4">
        <w:rPr>
          <w:i/>
          <w:iCs/>
          <w:lang w:eastAsia="ja-JP"/>
        </w:rPr>
        <w:t>-</w:t>
      </w:r>
      <w:r w:rsidRPr="00315568">
        <w:rPr>
          <w:i/>
          <w:iCs/>
          <w:lang w:eastAsia="ja-JP"/>
        </w:rPr>
        <w:t>sponsored residential services for more than 90 days</w:t>
      </w:r>
      <w:r w:rsidR="00731354">
        <w:rPr>
          <w:i/>
          <w:iCs/>
          <w:lang w:eastAsia="ja-JP"/>
        </w:rPr>
        <w:t>—</w:t>
      </w:r>
    </w:p>
    <w:p w14:paraId="130FA5E2" w14:textId="6ADC12E0" w:rsidR="00971748" w:rsidRPr="00315568" w:rsidRDefault="00971748" w:rsidP="00971748">
      <w:pPr>
        <w:numPr>
          <w:ilvl w:val="1"/>
          <w:numId w:val="26"/>
        </w:numPr>
        <w:autoSpaceDE w:val="0"/>
        <w:autoSpaceDN w:val="0"/>
        <w:adjustRightInd w:val="0"/>
        <w:rPr>
          <w:i/>
          <w:iCs/>
          <w:lang w:eastAsia="ja-JP"/>
        </w:rPr>
      </w:pPr>
      <w:r w:rsidRPr="00315568">
        <w:rPr>
          <w:i/>
          <w:iCs/>
          <w:lang w:eastAsia="ja-JP"/>
        </w:rPr>
        <w:t xml:space="preserve">VR </w:t>
      </w:r>
      <w:r w:rsidR="004F09A4">
        <w:rPr>
          <w:i/>
          <w:iCs/>
          <w:lang w:eastAsia="ja-JP"/>
        </w:rPr>
        <w:t>S</w:t>
      </w:r>
      <w:r w:rsidRPr="00315568">
        <w:rPr>
          <w:i/>
          <w:iCs/>
          <w:lang w:eastAsia="ja-JP"/>
        </w:rPr>
        <w:t>upervisor review and approval is required in 30</w:t>
      </w:r>
      <w:r>
        <w:rPr>
          <w:i/>
          <w:iCs/>
          <w:lang w:eastAsia="ja-JP"/>
        </w:rPr>
        <w:t>-</w:t>
      </w:r>
      <w:r w:rsidRPr="00315568">
        <w:rPr>
          <w:i/>
          <w:iCs/>
          <w:lang w:eastAsia="ja-JP"/>
        </w:rPr>
        <w:t>day increments for continued sponsorship to ensure that the customer is continuing to make measurable, predefined progress towards established goals and objectives, and</w:t>
      </w:r>
    </w:p>
    <w:p w14:paraId="5A5B9CBA" w14:textId="6FF24BEF" w:rsidR="00971748" w:rsidRPr="00F540C1" w:rsidRDefault="004F09A4" w:rsidP="00971748">
      <w:pPr>
        <w:numPr>
          <w:ilvl w:val="1"/>
          <w:numId w:val="26"/>
        </w:numPr>
        <w:autoSpaceDE w:val="0"/>
        <w:autoSpaceDN w:val="0"/>
        <w:adjustRightInd w:val="0"/>
        <w:rPr>
          <w:i/>
          <w:iCs/>
          <w:lang w:eastAsia="ja-JP"/>
        </w:rPr>
      </w:pPr>
      <w:r>
        <w:rPr>
          <w:i/>
          <w:iCs/>
          <w:lang w:eastAsia="ja-JP"/>
        </w:rPr>
        <w:t xml:space="preserve">The </w:t>
      </w:r>
      <w:r w:rsidR="00971748" w:rsidRPr="00315568">
        <w:rPr>
          <w:i/>
          <w:iCs/>
          <w:lang w:eastAsia="ja-JP"/>
        </w:rPr>
        <w:t>VR3472</w:t>
      </w:r>
      <w:r>
        <w:rPr>
          <w:i/>
          <w:iCs/>
          <w:lang w:eastAsia="ja-JP"/>
        </w:rPr>
        <w:t xml:space="preserve"> </w:t>
      </w:r>
      <w:r w:rsidR="00971748" w:rsidRPr="00315568">
        <w:rPr>
          <w:i/>
          <w:iCs/>
          <w:lang w:eastAsia="ja-JP"/>
        </w:rPr>
        <w:t>must be submitted and approved prior to services being authorized.</w:t>
      </w:r>
    </w:p>
    <w:p w14:paraId="32C67A5F" w14:textId="53C4940D" w:rsidR="00934027" w:rsidRDefault="00E13DCC" w:rsidP="00DF5CB7">
      <w:pPr>
        <w:pStyle w:val="Heading2"/>
      </w:pPr>
      <w:r>
        <w:t>REVIEW</w:t>
      </w:r>
    </w:p>
    <w:p w14:paraId="2922BE9B" w14:textId="7D763013" w:rsidR="00B745A1" w:rsidRDefault="00B745A1" w:rsidP="00B745A1">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B745A1" w:rsidRPr="00E25821" w14:paraId="711000BB" w14:textId="77777777" w:rsidTr="00177862">
        <w:trPr>
          <w:tblHeader/>
        </w:trPr>
        <w:tc>
          <w:tcPr>
            <w:tcW w:w="1560" w:type="dxa"/>
            <w:shd w:val="clear" w:color="auto" w:fill="F0F4FA" w:themeFill="accent4"/>
          </w:tcPr>
          <w:p w14:paraId="0825FC58" w14:textId="77777777" w:rsidR="00B745A1" w:rsidRPr="00E25821" w:rsidRDefault="00B745A1" w:rsidP="00177862">
            <w:pPr>
              <w:pStyle w:val="THead"/>
            </w:pPr>
            <w:r w:rsidRPr="00E25821">
              <w:t>Date</w:t>
            </w:r>
          </w:p>
        </w:tc>
        <w:tc>
          <w:tcPr>
            <w:tcW w:w="1905" w:type="dxa"/>
            <w:shd w:val="clear" w:color="auto" w:fill="F0F4FA" w:themeFill="accent4"/>
          </w:tcPr>
          <w:p w14:paraId="344E622F" w14:textId="77777777" w:rsidR="00B745A1" w:rsidRPr="00E25821" w:rsidRDefault="00B745A1" w:rsidP="00177862">
            <w:pPr>
              <w:pStyle w:val="THead"/>
            </w:pPr>
            <w:r w:rsidRPr="00E25821">
              <w:t>Type</w:t>
            </w:r>
          </w:p>
        </w:tc>
        <w:tc>
          <w:tcPr>
            <w:tcW w:w="5890" w:type="dxa"/>
            <w:shd w:val="clear" w:color="auto" w:fill="F0F4FA" w:themeFill="accent4"/>
          </w:tcPr>
          <w:p w14:paraId="3E1970FA" w14:textId="77777777" w:rsidR="00B745A1" w:rsidRPr="00E25821" w:rsidRDefault="00B745A1" w:rsidP="00177862">
            <w:pPr>
              <w:pStyle w:val="THead"/>
            </w:pPr>
            <w:r w:rsidRPr="00E25821">
              <w:t>Change Description</w:t>
            </w:r>
          </w:p>
        </w:tc>
      </w:tr>
      <w:tr w:rsidR="00B745A1" w14:paraId="153018EF" w14:textId="77777777" w:rsidTr="00177862">
        <w:tc>
          <w:tcPr>
            <w:tcW w:w="1560" w:type="dxa"/>
          </w:tcPr>
          <w:p w14:paraId="0DF904F1" w14:textId="77777777" w:rsidR="00B745A1" w:rsidRDefault="00B745A1" w:rsidP="00177862">
            <w:pPr>
              <w:pStyle w:val="ListParagraph"/>
              <w:numPr>
                <w:ilvl w:val="0"/>
                <w:numId w:val="0"/>
              </w:numPr>
            </w:pPr>
            <w:r>
              <w:t>9/3/2024</w:t>
            </w:r>
          </w:p>
        </w:tc>
        <w:tc>
          <w:tcPr>
            <w:tcW w:w="1905" w:type="dxa"/>
          </w:tcPr>
          <w:p w14:paraId="253F4088" w14:textId="77777777" w:rsidR="00B745A1" w:rsidRDefault="00B745A1" w:rsidP="00177862">
            <w:pPr>
              <w:pStyle w:val="ListParagraph"/>
              <w:numPr>
                <w:ilvl w:val="0"/>
                <w:numId w:val="0"/>
              </w:numPr>
            </w:pPr>
            <w:r>
              <w:t>New</w:t>
            </w:r>
          </w:p>
        </w:tc>
        <w:tc>
          <w:tcPr>
            <w:tcW w:w="5890" w:type="dxa"/>
          </w:tcPr>
          <w:p w14:paraId="069B76FA" w14:textId="77777777" w:rsidR="00B745A1" w:rsidRDefault="00B745A1" w:rsidP="00177862">
            <w:pPr>
              <w:pStyle w:val="ListParagraph"/>
              <w:numPr>
                <w:ilvl w:val="0"/>
                <w:numId w:val="0"/>
              </w:numPr>
            </w:pPr>
            <w:r>
              <w:t>VRSM Policy and Procedure Rewrite</w:t>
            </w:r>
          </w:p>
        </w:tc>
      </w:tr>
    </w:tbl>
    <w:p w14:paraId="5EB73B5E" w14:textId="6CDC0E82" w:rsidR="001901F0" w:rsidRPr="00E57035" w:rsidRDefault="001901F0" w:rsidP="00D62257">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EE4C" w14:textId="77777777" w:rsidR="005D730C" w:rsidRDefault="005D730C" w:rsidP="00895186">
      <w:r>
        <w:separator/>
      </w:r>
    </w:p>
  </w:endnote>
  <w:endnote w:type="continuationSeparator" w:id="0">
    <w:p w14:paraId="5250E2BB" w14:textId="77777777" w:rsidR="005D730C" w:rsidRDefault="005D730C"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F80CA0B" w:rsidR="00B24E6C" w:rsidRDefault="00C85622" w:rsidP="00895186">
    <w:pPr>
      <w:pStyle w:val="Footer"/>
    </w:pPr>
    <w:r>
      <w:rPr>
        <w:noProof/>
      </w:rPr>
      <mc:AlternateContent>
        <mc:Choice Requires="wps">
          <w:drawing>
            <wp:anchor distT="0" distB="0" distL="114300" distR="114300" simplePos="0" relativeHeight="251661312" behindDoc="0" locked="0" layoutInCell="1" allowOverlap="1" wp14:anchorId="00B0B3F3" wp14:editId="2F55A43A">
              <wp:simplePos x="0" y="0"/>
              <wp:positionH relativeFrom="column">
                <wp:posOffset>-380365</wp:posOffset>
              </wp:positionH>
              <wp:positionV relativeFrom="paragraph">
                <wp:posOffset>7620</wp:posOffset>
              </wp:positionV>
              <wp:extent cx="57861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786120" cy="488950"/>
                      </a:xfrm>
                      <a:prstGeom prst="rect">
                        <a:avLst/>
                      </a:prstGeom>
                      <a:noFill/>
                      <a:ln w="6350">
                        <a:noFill/>
                      </a:ln>
                    </wps:spPr>
                    <wps:txbx>
                      <w:txbxContent>
                        <w:p w14:paraId="25686EF3" w14:textId="0CF8883B" w:rsidR="00501E08" w:rsidRPr="00501E08" w:rsidRDefault="00C85622" w:rsidP="00895186">
                          <w:r>
                            <w:t>Part C, Chapter 5.3.</w:t>
                          </w:r>
                          <w:r w:rsidR="002D55FE">
                            <w:t>e</w:t>
                          </w:r>
                          <w:r>
                            <w:t xml:space="preserve">: </w:t>
                          </w:r>
                          <w:r w:rsidR="002D55FE">
                            <w:t xml:space="preserve">Supported Residential </w:t>
                          </w:r>
                          <w:r>
                            <w:t>Services</w:t>
                          </w:r>
                          <w:r w:rsidR="002D55FE">
                            <w:t xml:space="preserve"> for People in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95pt;margin-top:.6pt;width:455.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kEFgIAACwEAAAOAAAAZHJzL2Uyb0RvYy54bWysU01vGyEQvVfqf0Dc67Vd23F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" filled="f" stroked="f" strokeweight=".5pt">
              <v:textbox>
                <w:txbxContent>
                  <w:p w14:paraId="25686EF3" w14:textId="0CF8883B" w:rsidR="00501E08" w:rsidRPr="00501E08" w:rsidRDefault="00C85622" w:rsidP="00895186">
                    <w:r>
                      <w:t>Part C, Chapter 5.3.</w:t>
                    </w:r>
                    <w:r w:rsidR="002D55FE">
                      <w:t>e</w:t>
                    </w:r>
                    <w:r>
                      <w:t xml:space="preserve">: </w:t>
                    </w:r>
                    <w:r w:rsidR="002D55FE">
                      <w:t xml:space="preserve">Supported Residential </w:t>
                    </w:r>
                    <w:r>
                      <w:t>Services</w:t>
                    </w:r>
                    <w:r w:rsidR="002D55FE">
                      <w:t xml:space="preserve"> for People in Recovery</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DEF6BD2">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1A69" w14:textId="77777777" w:rsidR="005D730C" w:rsidRDefault="005D730C" w:rsidP="00895186">
      <w:r>
        <w:separator/>
      </w:r>
    </w:p>
  </w:footnote>
  <w:footnote w:type="continuationSeparator" w:id="0">
    <w:p w14:paraId="12EAF6EA" w14:textId="77777777" w:rsidR="005D730C" w:rsidRDefault="005D730C"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2CA9"/>
    <w:multiLevelType w:val="hybridMultilevel"/>
    <w:tmpl w:val="14380E3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07797"/>
    <w:multiLevelType w:val="multilevel"/>
    <w:tmpl w:val="558A043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94F4A16"/>
    <w:multiLevelType w:val="hybridMultilevel"/>
    <w:tmpl w:val="18E4407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580EA8"/>
    <w:multiLevelType w:val="hybridMultilevel"/>
    <w:tmpl w:val="B1C0C8C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E756C7"/>
    <w:multiLevelType w:val="hybridMultilevel"/>
    <w:tmpl w:val="DDA83A9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9" w15:restartNumberingAfterBreak="0">
    <w:nsid w:val="1140668A"/>
    <w:multiLevelType w:val="hybridMultilevel"/>
    <w:tmpl w:val="75BE77E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77280D"/>
    <w:multiLevelType w:val="hybridMultilevel"/>
    <w:tmpl w:val="F8F450A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B6E076E"/>
    <w:multiLevelType w:val="hybridMultilevel"/>
    <w:tmpl w:val="7A7A1D4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D875E7"/>
    <w:multiLevelType w:val="hybridMultilevel"/>
    <w:tmpl w:val="0F1890D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CCF68CC"/>
    <w:multiLevelType w:val="hybridMultilevel"/>
    <w:tmpl w:val="6DEEA50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0CD1D22"/>
    <w:multiLevelType w:val="hybridMultilevel"/>
    <w:tmpl w:val="C8DC1C6E"/>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F25F2E"/>
    <w:multiLevelType w:val="multilevel"/>
    <w:tmpl w:val="7750D8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8587C"/>
    <w:multiLevelType w:val="hybridMultilevel"/>
    <w:tmpl w:val="6E728FD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701161"/>
    <w:multiLevelType w:val="hybridMultilevel"/>
    <w:tmpl w:val="88525D5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2A1F227F"/>
    <w:multiLevelType w:val="hybridMultilevel"/>
    <w:tmpl w:val="83B645B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ED7A17"/>
    <w:multiLevelType w:val="hybridMultilevel"/>
    <w:tmpl w:val="D592BA7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37167E5C"/>
    <w:multiLevelType w:val="hybridMultilevel"/>
    <w:tmpl w:val="AE48B38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7B555BE"/>
    <w:multiLevelType w:val="hybridMultilevel"/>
    <w:tmpl w:val="7026CC0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9121E4B"/>
    <w:multiLevelType w:val="hybridMultilevel"/>
    <w:tmpl w:val="FEE43C4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3E143DDA"/>
    <w:multiLevelType w:val="hybridMultilevel"/>
    <w:tmpl w:val="70284C5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3" w15:restartNumberingAfterBreak="0">
    <w:nsid w:val="3FD7695C"/>
    <w:multiLevelType w:val="hybridMultilevel"/>
    <w:tmpl w:val="65861B6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4C6C18"/>
    <w:multiLevelType w:val="hybridMultilevel"/>
    <w:tmpl w:val="9AE2442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545B92"/>
    <w:multiLevelType w:val="hybridMultilevel"/>
    <w:tmpl w:val="42AAE59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47" w15:restartNumberingAfterBreak="0">
    <w:nsid w:val="454B1E95"/>
    <w:multiLevelType w:val="hybridMultilevel"/>
    <w:tmpl w:val="69DE070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5F519DF"/>
    <w:multiLevelType w:val="hybridMultilevel"/>
    <w:tmpl w:val="186A21C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A7F2BB2"/>
    <w:multiLevelType w:val="hybridMultilevel"/>
    <w:tmpl w:val="E2C42EF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4B5365D7"/>
    <w:multiLevelType w:val="hybridMultilevel"/>
    <w:tmpl w:val="F358243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D9103B5"/>
    <w:multiLevelType w:val="hybridMultilevel"/>
    <w:tmpl w:val="72EC601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F0247A4"/>
    <w:multiLevelType w:val="hybridMultilevel"/>
    <w:tmpl w:val="205CBCA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2804207"/>
    <w:multiLevelType w:val="hybridMultilevel"/>
    <w:tmpl w:val="79AC593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56C5E23"/>
    <w:multiLevelType w:val="hybridMultilevel"/>
    <w:tmpl w:val="EABAA96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6C91CC0"/>
    <w:multiLevelType w:val="hybridMultilevel"/>
    <w:tmpl w:val="6B80AC1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6D860D3"/>
    <w:multiLevelType w:val="hybridMultilevel"/>
    <w:tmpl w:val="4B5450F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0" w15:restartNumberingAfterBreak="0">
    <w:nsid w:val="5AD903B6"/>
    <w:multiLevelType w:val="hybridMultilevel"/>
    <w:tmpl w:val="9C4CA5C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BCF6D73"/>
    <w:multiLevelType w:val="hybridMultilevel"/>
    <w:tmpl w:val="934A26F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962F38"/>
    <w:multiLevelType w:val="hybridMultilevel"/>
    <w:tmpl w:val="7E88877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50A0FE6"/>
    <w:multiLevelType w:val="hybridMultilevel"/>
    <w:tmpl w:val="F71EFAC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50B2CA6"/>
    <w:multiLevelType w:val="hybridMultilevel"/>
    <w:tmpl w:val="A5B20C7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53857E8"/>
    <w:multiLevelType w:val="hybridMultilevel"/>
    <w:tmpl w:val="A4D05E3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7" w15:restartNumberingAfterBreak="0">
    <w:nsid w:val="66BD2104"/>
    <w:multiLevelType w:val="hybridMultilevel"/>
    <w:tmpl w:val="7D6E802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8A71A0E"/>
    <w:multiLevelType w:val="hybridMultilevel"/>
    <w:tmpl w:val="89AC030E"/>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8C63B65"/>
    <w:multiLevelType w:val="hybridMultilevel"/>
    <w:tmpl w:val="778C985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6A6E54D7"/>
    <w:multiLevelType w:val="hybridMultilevel"/>
    <w:tmpl w:val="4DFE72E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8D5F90"/>
    <w:multiLevelType w:val="hybridMultilevel"/>
    <w:tmpl w:val="41FCF65A"/>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0EF5E45"/>
    <w:multiLevelType w:val="hybridMultilevel"/>
    <w:tmpl w:val="37EA828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2C2466C"/>
    <w:multiLevelType w:val="hybridMultilevel"/>
    <w:tmpl w:val="BC58060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3391770"/>
    <w:multiLevelType w:val="hybridMultilevel"/>
    <w:tmpl w:val="FCF84DD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517446E"/>
    <w:multiLevelType w:val="hybridMultilevel"/>
    <w:tmpl w:val="6F44FC1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A912E7"/>
    <w:multiLevelType w:val="hybridMultilevel"/>
    <w:tmpl w:val="E2C0989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82" w15:restartNumberingAfterBreak="0">
    <w:nsid w:val="7AE3394B"/>
    <w:multiLevelType w:val="hybridMultilevel"/>
    <w:tmpl w:val="D132180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912392"/>
    <w:multiLevelType w:val="hybridMultilevel"/>
    <w:tmpl w:val="25B6F92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38"/>
  </w:num>
  <w:num w:numId="2" w16cid:durableId="620455520">
    <w:abstractNumId w:val="0"/>
  </w:num>
  <w:num w:numId="3" w16cid:durableId="943148761">
    <w:abstractNumId w:val="31"/>
  </w:num>
  <w:num w:numId="4" w16cid:durableId="109056539">
    <w:abstractNumId w:val="68"/>
  </w:num>
  <w:num w:numId="5" w16cid:durableId="1893686843">
    <w:abstractNumId w:val="39"/>
  </w:num>
  <w:num w:numId="6" w16cid:durableId="760954600">
    <w:abstractNumId w:val="46"/>
  </w:num>
  <w:num w:numId="7" w16cid:durableId="1429428784">
    <w:abstractNumId w:val="26"/>
  </w:num>
  <w:num w:numId="8" w16cid:durableId="436485834">
    <w:abstractNumId w:val="17"/>
  </w:num>
  <w:num w:numId="9" w16cid:durableId="127362230">
    <w:abstractNumId w:val="11"/>
  </w:num>
  <w:num w:numId="10" w16cid:durableId="1604805518">
    <w:abstractNumId w:val="14"/>
  </w:num>
  <w:num w:numId="11" w16cid:durableId="1256401764">
    <w:abstractNumId w:val="50"/>
  </w:num>
  <w:num w:numId="12" w16cid:durableId="1548175440">
    <w:abstractNumId w:val="71"/>
  </w:num>
  <w:num w:numId="13" w16cid:durableId="975644156">
    <w:abstractNumId w:val="16"/>
  </w:num>
  <w:num w:numId="14" w16cid:durableId="2099713293">
    <w:abstractNumId w:val="33"/>
  </w:num>
  <w:num w:numId="15" w16cid:durableId="1594316770">
    <w:abstractNumId w:val="40"/>
  </w:num>
  <w:num w:numId="16" w16cid:durableId="700741873">
    <w:abstractNumId w:val="59"/>
  </w:num>
  <w:num w:numId="17" w16cid:durableId="1651835230">
    <w:abstractNumId w:val="32"/>
  </w:num>
  <w:num w:numId="18" w16cid:durableId="883299119">
    <w:abstractNumId w:val="66"/>
  </w:num>
  <w:num w:numId="19" w16cid:durableId="84305632">
    <w:abstractNumId w:val="24"/>
  </w:num>
  <w:num w:numId="20" w16cid:durableId="1057705478">
    <w:abstractNumId w:val="80"/>
  </w:num>
  <w:num w:numId="21" w16cid:durableId="96758055">
    <w:abstractNumId w:val="42"/>
  </w:num>
  <w:num w:numId="22" w16cid:durableId="722797963">
    <w:abstractNumId w:val="20"/>
  </w:num>
  <w:num w:numId="23" w16cid:durableId="1638485069">
    <w:abstractNumId w:val="30"/>
  </w:num>
  <w:num w:numId="24" w16cid:durableId="1439984590">
    <w:abstractNumId w:val="80"/>
    <w:lvlOverride w:ilvl="0">
      <w:startOverride w:val="1"/>
    </w:lvlOverride>
  </w:num>
  <w:num w:numId="25" w16cid:durableId="460730897">
    <w:abstractNumId w:val="22"/>
  </w:num>
  <w:num w:numId="26" w16cid:durableId="1377244451">
    <w:abstractNumId w:val="1"/>
  </w:num>
  <w:num w:numId="27" w16cid:durableId="30420175">
    <w:abstractNumId w:val="29"/>
  </w:num>
  <w:num w:numId="28" w16cid:durableId="763261832">
    <w:abstractNumId w:val="3"/>
  </w:num>
  <w:num w:numId="29" w16cid:durableId="1268929695">
    <w:abstractNumId w:val="29"/>
    <w:lvlOverride w:ilvl="0">
      <w:startOverride w:val="1"/>
    </w:lvlOverride>
  </w:num>
  <w:num w:numId="30" w16cid:durableId="1510757688">
    <w:abstractNumId w:val="29"/>
  </w:num>
  <w:num w:numId="31" w16cid:durableId="1760524021">
    <w:abstractNumId w:val="81"/>
  </w:num>
  <w:num w:numId="32" w16cid:durableId="191573243">
    <w:abstractNumId w:val="54"/>
  </w:num>
  <w:num w:numId="33" w16cid:durableId="718751240">
    <w:abstractNumId w:val="8"/>
  </w:num>
  <w:num w:numId="34" w16cid:durableId="1367289556">
    <w:abstractNumId w:val="37"/>
  </w:num>
  <w:num w:numId="35" w16cid:durableId="1934777624">
    <w:abstractNumId w:val="23"/>
  </w:num>
  <w:num w:numId="36" w16cid:durableId="1647272484">
    <w:abstractNumId w:val="73"/>
  </w:num>
  <w:num w:numId="37" w16cid:durableId="1327826153">
    <w:abstractNumId w:val="29"/>
    <w:lvlOverride w:ilvl="0">
      <w:startOverride w:val="1"/>
    </w:lvlOverride>
  </w:num>
  <w:num w:numId="38" w16cid:durableId="144202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2479796">
    <w:abstractNumId w:val="47"/>
  </w:num>
  <w:num w:numId="40" w16cid:durableId="481314641">
    <w:abstractNumId w:val="35"/>
  </w:num>
  <w:num w:numId="41" w16cid:durableId="684477686">
    <w:abstractNumId w:val="44"/>
  </w:num>
  <w:num w:numId="42" w16cid:durableId="540632757">
    <w:abstractNumId w:val="63"/>
  </w:num>
  <w:num w:numId="43" w16cid:durableId="660235248">
    <w:abstractNumId w:val="27"/>
  </w:num>
  <w:num w:numId="44" w16cid:durableId="1003900284">
    <w:abstractNumId w:val="69"/>
  </w:num>
  <w:num w:numId="45" w16cid:durableId="683287185">
    <w:abstractNumId w:val="65"/>
  </w:num>
  <w:num w:numId="46" w16cid:durableId="2106609125">
    <w:abstractNumId w:val="13"/>
  </w:num>
  <w:num w:numId="47" w16cid:durableId="1715229763">
    <w:abstractNumId w:val="34"/>
  </w:num>
  <w:num w:numId="48" w16cid:durableId="1540894488">
    <w:abstractNumId w:val="7"/>
  </w:num>
  <w:num w:numId="49" w16cid:durableId="2120371091">
    <w:abstractNumId w:val="5"/>
  </w:num>
  <w:num w:numId="50" w16cid:durableId="90785955">
    <w:abstractNumId w:val="60"/>
  </w:num>
  <w:num w:numId="51" w16cid:durableId="655761304">
    <w:abstractNumId w:val="61"/>
  </w:num>
  <w:num w:numId="52" w16cid:durableId="1194001402">
    <w:abstractNumId w:val="55"/>
  </w:num>
  <w:num w:numId="53" w16cid:durableId="780807667">
    <w:abstractNumId w:val="48"/>
  </w:num>
  <w:num w:numId="54" w16cid:durableId="75367217">
    <w:abstractNumId w:val="72"/>
  </w:num>
  <w:num w:numId="55" w16cid:durableId="1002704190">
    <w:abstractNumId w:val="62"/>
  </w:num>
  <w:num w:numId="56" w16cid:durableId="968361057">
    <w:abstractNumId w:val="58"/>
  </w:num>
  <w:num w:numId="57" w16cid:durableId="394088734">
    <w:abstractNumId w:val="9"/>
  </w:num>
  <w:num w:numId="58" w16cid:durableId="652023435">
    <w:abstractNumId w:val="53"/>
  </w:num>
  <w:num w:numId="59" w16cid:durableId="1704284280">
    <w:abstractNumId w:val="25"/>
  </w:num>
  <w:num w:numId="60" w16cid:durableId="834803450">
    <w:abstractNumId w:val="45"/>
  </w:num>
  <w:num w:numId="61" w16cid:durableId="1229343111">
    <w:abstractNumId w:val="83"/>
  </w:num>
  <w:num w:numId="62" w16cid:durableId="1579555543">
    <w:abstractNumId w:val="18"/>
  </w:num>
  <w:num w:numId="63" w16cid:durableId="962462966">
    <w:abstractNumId w:val="51"/>
  </w:num>
  <w:num w:numId="64" w16cid:durableId="1546677279">
    <w:abstractNumId w:val="52"/>
  </w:num>
  <w:num w:numId="65" w16cid:durableId="1263879116">
    <w:abstractNumId w:val="70"/>
  </w:num>
  <w:num w:numId="66" w16cid:durableId="1025906133">
    <w:abstractNumId w:val="67"/>
  </w:num>
  <w:num w:numId="67" w16cid:durableId="1554659808">
    <w:abstractNumId w:val="36"/>
  </w:num>
  <w:num w:numId="68" w16cid:durableId="1792898549">
    <w:abstractNumId w:val="77"/>
  </w:num>
  <w:num w:numId="69" w16cid:durableId="439229659">
    <w:abstractNumId w:val="15"/>
  </w:num>
  <w:num w:numId="70" w16cid:durableId="969482266">
    <w:abstractNumId w:val="12"/>
  </w:num>
  <w:num w:numId="71" w16cid:durableId="89812858">
    <w:abstractNumId w:val="28"/>
  </w:num>
  <w:num w:numId="72" w16cid:durableId="1408381117">
    <w:abstractNumId w:val="79"/>
  </w:num>
  <w:num w:numId="73" w16cid:durableId="1422483434">
    <w:abstractNumId w:val="76"/>
  </w:num>
  <w:num w:numId="74" w16cid:durableId="1716542117">
    <w:abstractNumId w:val="78"/>
  </w:num>
  <w:num w:numId="75" w16cid:durableId="1119834620">
    <w:abstractNumId w:val="10"/>
  </w:num>
  <w:num w:numId="76" w16cid:durableId="1991513918">
    <w:abstractNumId w:val="6"/>
  </w:num>
  <w:num w:numId="77" w16cid:durableId="93520221">
    <w:abstractNumId w:val="49"/>
  </w:num>
  <w:num w:numId="78" w16cid:durableId="773329114">
    <w:abstractNumId w:val="57"/>
  </w:num>
  <w:num w:numId="79" w16cid:durableId="1246108591">
    <w:abstractNumId w:val="21"/>
  </w:num>
  <w:num w:numId="80" w16cid:durableId="723064135">
    <w:abstractNumId w:val="82"/>
  </w:num>
  <w:num w:numId="81" w16cid:durableId="1285766285">
    <w:abstractNumId w:val="75"/>
  </w:num>
  <w:num w:numId="82" w16cid:durableId="964771122">
    <w:abstractNumId w:val="56"/>
  </w:num>
  <w:num w:numId="83" w16cid:durableId="50690856">
    <w:abstractNumId w:val="2"/>
  </w:num>
  <w:num w:numId="84" w16cid:durableId="977800799">
    <w:abstractNumId w:val="19"/>
  </w:num>
  <w:num w:numId="85" w16cid:durableId="2036539803">
    <w:abstractNumId w:val="4"/>
  </w:num>
  <w:num w:numId="86" w16cid:durableId="1073577363">
    <w:abstractNumId w:val="43"/>
  </w:num>
  <w:num w:numId="87" w16cid:durableId="106121676">
    <w:abstractNumId w:val="64"/>
  </w:num>
  <w:num w:numId="88" w16cid:durableId="103815764">
    <w:abstractNumId w:val="41"/>
  </w:num>
  <w:num w:numId="89" w16cid:durableId="1942032532">
    <w:abstractNumId w:val="74"/>
  </w:num>
  <w:num w:numId="90" w16cid:durableId="1272592731">
    <w:abstractNumId w:val="29"/>
    <w:lvlOverride w:ilvl="0">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17CE"/>
    <w:rsid w:val="00003D40"/>
    <w:rsid w:val="000172DD"/>
    <w:rsid w:val="00033AAF"/>
    <w:rsid w:val="00036423"/>
    <w:rsid w:val="00045CB3"/>
    <w:rsid w:val="000509C5"/>
    <w:rsid w:val="00052545"/>
    <w:rsid w:val="000538A8"/>
    <w:rsid w:val="0005762A"/>
    <w:rsid w:val="00062746"/>
    <w:rsid w:val="00094031"/>
    <w:rsid w:val="000A1F40"/>
    <w:rsid w:val="000B1231"/>
    <w:rsid w:val="000B3B97"/>
    <w:rsid w:val="000B6B09"/>
    <w:rsid w:val="000E34FB"/>
    <w:rsid w:val="00103782"/>
    <w:rsid w:val="00112FA4"/>
    <w:rsid w:val="001211ED"/>
    <w:rsid w:val="00133CB2"/>
    <w:rsid w:val="001427D6"/>
    <w:rsid w:val="00145474"/>
    <w:rsid w:val="00145D80"/>
    <w:rsid w:val="0015717B"/>
    <w:rsid w:val="00157B45"/>
    <w:rsid w:val="001676D0"/>
    <w:rsid w:val="00170306"/>
    <w:rsid w:val="0017262C"/>
    <w:rsid w:val="00177C2C"/>
    <w:rsid w:val="00181B0A"/>
    <w:rsid w:val="001841B3"/>
    <w:rsid w:val="00184EE4"/>
    <w:rsid w:val="001901F0"/>
    <w:rsid w:val="001A2B37"/>
    <w:rsid w:val="001B3B8F"/>
    <w:rsid w:val="001C20F2"/>
    <w:rsid w:val="001C3111"/>
    <w:rsid w:val="001C3633"/>
    <w:rsid w:val="001C4F4D"/>
    <w:rsid w:val="001D7D23"/>
    <w:rsid w:val="001E75B8"/>
    <w:rsid w:val="001F176D"/>
    <w:rsid w:val="00200EB7"/>
    <w:rsid w:val="00202D74"/>
    <w:rsid w:val="00203FBC"/>
    <w:rsid w:val="00204AEA"/>
    <w:rsid w:val="00204C80"/>
    <w:rsid w:val="002234C6"/>
    <w:rsid w:val="00224B5C"/>
    <w:rsid w:val="0022624A"/>
    <w:rsid w:val="0022773A"/>
    <w:rsid w:val="002373C8"/>
    <w:rsid w:val="00237F40"/>
    <w:rsid w:val="00251BEF"/>
    <w:rsid w:val="00253721"/>
    <w:rsid w:val="0028600F"/>
    <w:rsid w:val="00291D54"/>
    <w:rsid w:val="002A345C"/>
    <w:rsid w:val="002B3B60"/>
    <w:rsid w:val="002C0046"/>
    <w:rsid w:val="002D55FE"/>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D173F"/>
    <w:rsid w:val="003E1761"/>
    <w:rsid w:val="00414B84"/>
    <w:rsid w:val="00417839"/>
    <w:rsid w:val="00420B1A"/>
    <w:rsid w:val="00422F66"/>
    <w:rsid w:val="00423F90"/>
    <w:rsid w:val="00437552"/>
    <w:rsid w:val="00442303"/>
    <w:rsid w:val="0044342D"/>
    <w:rsid w:val="00472E58"/>
    <w:rsid w:val="00473095"/>
    <w:rsid w:val="00494893"/>
    <w:rsid w:val="0049537E"/>
    <w:rsid w:val="00497815"/>
    <w:rsid w:val="004C5E23"/>
    <w:rsid w:val="004E6008"/>
    <w:rsid w:val="004F09A4"/>
    <w:rsid w:val="00501E08"/>
    <w:rsid w:val="00507EDE"/>
    <w:rsid w:val="00512F6B"/>
    <w:rsid w:val="00520625"/>
    <w:rsid w:val="00522345"/>
    <w:rsid w:val="005349DD"/>
    <w:rsid w:val="00555595"/>
    <w:rsid w:val="0056495A"/>
    <w:rsid w:val="005735AB"/>
    <w:rsid w:val="0057562C"/>
    <w:rsid w:val="00580991"/>
    <w:rsid w:val="005820F2"/>
    <w:rsid w:val="00590E50"/>
    <w:rsid w:val="005A5B07"/>
    <w:rsid w:val="005B1174"/>
    <w:rsid w:val="005D431C"/>
    <w:rsid w:val="005D730C"/>
    <w:rsid w:val="005E126D"/>
    <w:rsid w:val="005E363C"/>
    <w:rsid w:val="005F0E52"/>
    <w:rsid w:val="00602597"/>
    <w:rsid w:val="006170EF"/>
    <w:rsid w:val="00663892"/>
    <w:rsid w:val="00670650"/>
    <w:rsid w:val="006822AE"/>
    <w:rsid w:val="00684E8E"/>
    <w:rsid w:val="00684E9F"/>
    <w:rsid w:val="006D108A"/>
    <w:rsid w:val="006D2A8C"/>
    <w:rsid w:val="006D4E9F"/>
    <w:rsid w:val="006D7231"/>
    <w:rsid w:val="006F605F"/>
    <w:rsid w:val="00700604"/>
    <w:rsid w:val="00701EDA"/>
    <w:rsid w:val="007253AC"/>
    <w:rsid w:val="00731354"/>
    <w:rsid w:val="00732372"/>
    <w:rsid w:val="00735B11"/>
    <w:rsid w:val="00737F40"/>
    <w:rsid w:val="007400FF"/>
    <w:rsid w:val="0075227F"/>
    <w:rsid w:val="0075656E"/>
    <w:rsid w:val="00776D8F"/>
    <w:rsid w:val="00781378"/>
    <w:rsid w:val="00785189"/>
    <w:rsid w:val="007C2A47"/>
    <w:rsid w:val="007D1AEF"/>
    <w:rsid w:val="007D6F90"/>
    <w:rsid w:val="007F11FA"/>
    <w:rsid w:val="007F608C"/>
    <w:rsid w:val="008021D5"/>
    <w:rsid w:val="008101E7"/>
    <w:rsid w:val="00817FD0"/>
    <w:rsid w:val="00823238"/>
    <w:rsid w:val="008305E7"/>
    <w:rsid w:val="00831F7C"/>
    <w:rsid w:val="00837800"/>
    <w:rsid w:val="008445D4"/>
    <w:rsid w:val="00851005"/>
    <w:rsid w:val="0087043F"/>
    <w:rsid w:val="008749BC"/>
    <w:rsid w:val="00877B4B"/>
    <w:rsid w:val="00880480"/>
    <w:rsid w:val="00894538"/>
    <w:rsid w:val="00895186"/>
    <w:rsid w:val="00896AC1"/>
    <w:rsid w:val="008A37E9"/>
    <w:rsid w:val="008A7E99"/>
    <w:rsid w:val="008B35B0"/>
    <w:rsid w:val="008B3A93"/>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651A0"/>
    <w:rsid w:val="00965E5D"/>
    <w:rsid w:val="00971748"/>
    <w:rsid w:val="00984C14"/>
    <w:rsid w:val="00985B75"/>
    <w:rsid w:val="00986961"/>
    <w:rsid w:val="00995554"/>
    <w:rsid w:val="009B3100"/>
    <w:rsid w:val="009D6D30"/>
    <w:rsid w:val="009F4153"/>
    <w:rsid w:val="009F5F26"/>
    <w:rsid w:val="00A001F3"/>
    <w:rsid w:val="00A010F6"/>
    <w:rsid w:val="00A276C5"/>
    <w:rsid w:val="00A4148F"/>
    <w:rsid w:val="00A4708E"/>
    <w:rsid w:val="00A53108"/>
    <w:rsid w:val="00A56638"/>
    <w:rsid w:val="00A70A13"/>
    <w:rsid w:val="00A70A57"/>
    <w:rsid w:val="00A728F0"/>
    <w:rsid w:val="00A8104C"/>
    <w:rsid w:val="00A81DE6"/>
    <w:rsid w:val="00AA1208"/>
    <w:rsid w:val="00AA1D64"/>
    <w:rsid w:val="00AB7064"/>
    <w:rsid w:val="00AC49D4"/>
    <w:rsid w:val="00AD3BBC"/>
    <w:rsid w:val="00AD4C2A"/>
    <w:rsid w:val="00AD6C5A"/>
    <w:rsid w:val="00AD6E5F"/>
    <w:rsid w:val="00AE3E47"/>
    <w:rsid w:val="00AF2E87"/>
    <w:rsid w:val="00B01FA6"/>
    <w:rsid w:val="00B134DA"/>
    <w:rsid w:val="00B23B90"/>
    <w:rsid w:val="00B24E6C"/>
    <w:rsid w:val="00B4029A"/>
    <w:rsid w:val="00B51052"/>
    <w:rsid w:val="00B53ADD"/>
    <w:rsid w:val="00B63DC8"/>
    <w:rsid w:val="00B745A1"/>
    <w:rsid w:val="00B83A23"/>
    <w:rsid w:val="00BA2C02"/>
    <w:rsid w:val="00BB1B54"/>
    <w:rsid w:val="00BB2FED"/>
    <w:rsid w:val="00BD18CB"/>
    <w:rsid w:val="00BD4453"/>
    <w:rsid w:val="00C115B7"/>
    <w:rsid w:val="00C179E1"/>
    <w:rsid w:val="00C352AB"/>
    <w:rsid w:val="00C47BD9"/>
    <w:rsid w:val="00C52486"/>
    <w:rsid w:val="00C57B6D"/>
    <w:rsid w:val="00C71AE5"/>
    <w:rsid w:val="00C759E8"/>
    <w:rsid w:val="00C75B7A"/>
    <w:rsid w:val="00C828B1"/>
    <w:rsid w:val="00C85622"/>
    <w:rsid w:val="00CA6FBB"/>
    <w:rsid w:val="00CA7EFC"/>
    <w:rsid w:val="00CB2389"/>
    <w:rsid w:val="00CB3FD2"/>
    <w:rsid w:val="00CB5436"/>
    <w:rsid w:val="00CD68B6"/>
    <w:rsid w:val="00CF06B7"/>
    <w:rsid w:val="00CF51B9"/>
    <w:rsid w:val="00D064C9"/>
    <w:rsid w:val="00D127D4"/>
    <w:rsid w:val="00D12C14"/>
    <w:rsid w:val="00D164C7"/>
    <w:rsid w:val="00D22E37"/>
    <w:rsid w:val="00D26D1A"/>
    <w:rsid w:val="00D2701D"/>
    <w:rsid w:val="00D3285D"/>
    <w:rsid w:val="00D451D6"/>
    <w:rsid w:val="00D55410"/>
    <w:rsid w:val="00D5593A"/>
    <w:rsid w:val="00D62257"/>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4E88"/>
    <w:rsid w:val="00EF55C3"/>
    <w:rsid w:val="00F01C9E"/>
    <w:rsid w:val="00F0306B"/>
    <w:rsid w:val="00F04098"/>
    <w:rsid w:val="00F1048D"/>
    <w:rsid w:val="00F21255"/>
    <w:rsid w:val="00F43B91"/>
    <w:rsid w:val="00F54EFD"/>
    <w:rsid w:val="00F5573C"/>
    <w:rsid w:val="00F615A4"/>
    <w:rsid w:val="00F63D84"/>
    <w:rsid w:val="00F82376"/>
    <w:rsid w:val="00F94A88"/>
    <w:rsid w:val="00F963D3"/>
    <w:rsid w:val="00F96A75"/>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85622"/>
    <w:rPr>
      <w:color w:val="9F3223" w:themeColor="hyperlink"/>
      <w:u w:val="single"/>
    </w:rPr>
  </w:style>
  <w:style w:type="character" w:styleId="CommentReference">
    <w:name w:val="annotation reference"/>
    <w:basedOn w:val="DefaultParagraphFont"/>
    <w:uiPriority w:val="99"/>
    <w:semiHidden/>
    <w:unhideWhenUsed/>
    <w:rsid w:val="00181B0A"/>
    <w:rPr>
      <w:sz w:val="16"/>
      <w:szCs w:val="16"/>
    </w:rPr>
  </w:style>
  <w:style w:type="paragraph" w:styleId="CommentText">
    <w:name w:val="annotation text"/>
    <w:basedOn w:val="Normal"/>
    <w:link w:val="CommentTextChar"/>
    <w:uiPriority w:val="99"/>
    <w:unhideWhenUsed/>
    <w:rsid w:val="00181B0A"/>
    <w:pPr>
      <w:spacing w:line="240" w:lineRule="auto"/>
    </w:pPr>
    <w:rPr>
      <w:sz w:val="20"/>
      <w:szCs w:val="20"/>
    </w:rPr>
  </w:style>
  <w:style w:type="character" w:customStyle="1" w:styleId="CommentTextChar">
    <w:name w:val="Comment Text Char"/>
    <w:basedOn w:val="DefaultParagraphFont"/>
    <w:link w:val="CommentText"/>
    <w:uiPriority w:val="99"/>
    <w:rsid w:val="00181B0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81B0A"/>
    <w:rPr>
      <w:b/>
      <w:bCs/>
    </w:rPr>
  </w:style>
  <w:style w:type="character" w:customStyle="1" w:styleId="CommentSubjectChar">
    <w:name w:val="Comment Subject Char"/>
    <w:basedOn w:val="CommentTextChar"/>
    <w:link w:val="CommentSubject"/>
    <w:uiPriority w:val="99"/>
    <w:semiHidden/>
    <w:rsid w:val="00181B0A"/>
    <w:rPr>
      <w:rFonts w:ascii="Arial" w:hAnsi="Arial" w:cs="Arial"/>
      <w:b/>
      <w:bCs/>
      <w:sz w:val="20"/>
      <w:szCs w:val="20"/>
    </w:rPr>
  </w:style>
  <w:style w:type="character" w:customStyle="1" w:styleId="ui-provider">
    <w:name w:val="ui-provider"/>
    <w:basedOn w:val="DefaultParagraphFont"/>
    <w:rsid w:val="001C3111"/>
  </w:style>
  <w:style w:type="paragraph" w:styleId="Revision">
    <w:name w:val="Revision"/>
    <w:hidden/>
    <w:uiPriority w:val="99"/>
    <w:semiHidden/>
    <w:rsid w:val="00B745A1"/>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request send for link 8/21 uploaded to IMCE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5F636-F52F-488B-ADA3-53B82A9A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26F43-2112-4498-8FE9-58623DCD595A}">
  <ds:schemaRefs>
    <ds:schemaRef ds:uri="6bfde61a-94c1-42db-b4d1-79e5b3c6adc0"/>
    <ds:schemaRef ds:uri="http://purl.org/dc/elements/1.1/"/>
    <ds:schemaRef ds:uri="58825e9e-cc90-40c0-979d-f08666619410"/>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041c5daf-9d3a-4e9a-b660-f4ef0b4e5805"/>
    <ds:schemaRef ds:uri="http://purl.org/dc/dcmitype/"/>
  </ds:schemaRefs>
</ds:datastoreItem>
</file>

<file path=customXml/itemProps3.xml><?xml version="1.0" encoding="utf-8"?>
<ds:datastoreItem xmlns:ds="http://schemas.openxmlformats.org/officeDocument/2006/customXml" ds:itemID="{63CCCE1E-7B26-4CCE-B854-D91A49E31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VRSM - Part C, Chapter 5.3.e - Supported Residential Services for People in Recovery</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5.3.e - Supported Residential Services for People in Recovery</dc:title>
  <dc:subject/>
  <dc:creator>TWC-VR</dc:creator>
  <cp:keywords>Texas Workforce Commission Vocational Rehabilitation Services Manual (VRSM) policy</cp:keywords>
  <dc:description/>
  <cp:lastModifiedBy>Cooke,Heather J</cp:lastModifiedBy>
  <cp:revision>7</cp:revision>
  <dcterms:created xsi:type="dcterms:W3CDTF">2024-08-20T13:54:00Z</dcterms:created>
  <dcterms:modified xsi:type="dcterms:W3CDTF">2024-08-20T20:57:00Z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