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EBC4D92" w:rsidR="002A345C" w:rsidRDefault="00C742A8" w:rsidP="00853F63">
      <w:pPr>
        <w:pStyle w:val="Heading1"/>
      </w:pPr>
      <w:r w:rsidRPr="00853F63">
        <w:t>PART C, CHAPTER 4:</w:t>
      </w:r>
      <w:r w:rsidR="00853F63">
        <w:br/>
      </w:r>
      <w:r>
        <w:t>INFORMATION AND REFERRAL SERVICES</w:t>
      </w:r>
    </w:p>
    <w:tbl>
      <w:tblPr>
        <w:tblW w:w="9451" w:type="dxa"/>
        <w:tblLook w:val="04A0" w:firstRow="1" w:lastRow="0" w:firstColumn="1" w:lastColumn="0" w:noHBand="0" w:noVBand="1"/>
      </w:tblPr>
      <w:tblGrid>
        <w:gridCol w:w="1603"/>
        <w:gridCol w:w="5074"/>
        <w:gridCol w:w="1557"/>
        <w:gridCol w:w="1217"/>
      </w:tblGrid>
      <w:tr w:rsidR="001D6C98" w:rsidRPr="001D6C98" w14:paraId="7B264DEA" w14:textId="77777777" w:rsidTr="00935F81">
        <w:trPr>
          <w:trHeight w:val="315"/>
        </w:trPr>
        <w:tc>
          <w:tcPr>
            <w:tcW w:w="160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D4FFDDE" w14:textId="77777777" w:rsidR="001D6C98" w:rsidRPr="001D6C98" w:rsidRDefault="001D6C98" w:rsidP="001D6C98">
            <w:pPr>
              <w:spacing w:before="0" w:after="0" w:line="240" w:lineRule="auto"/>
              <w:rPr>
                <w:rFonts w:eastAsia="Times New Roman"/>
                <w:b/>
                <w:bCs/>
                <w:color w:val="000000"/>
                <w:kern w:val="0"/>
                <w14:ligatures w14:val="none"/>
              </w:rPr>
            </w:pPr>
            <w:r w:rsidRPr="001D6C98">
              <w:rPr>
                <w:rFonts w:eastAsia="Times New Roman"/>
                <w:b/>
                <w:bCs/>
                <w:color w:val="000000"/>
                <w:kern w:val="0"/>
                <w:lang w:val="en" w:eastAsia="ja-JP"/>
                <w14:ligatures w14:val="none"/>
              </w:rPr>
              <w:t>Policy Number</w:t>
            </w:r>
          </w:p>
        </w:tc>
        <w:tc>
          <w:tcPr>
            <w:tcW w:w="5074" w:type="dxa"/>
            <w:tcBorders>
              <w:top w:val="single" w:sz="4" w:space="0" w:color="auto"/>
              <w:left w:val="nil"/>
              <w:bottom w:val="single" w:sz="4" w:space="0" w:color="auto"/>
              <w:right w:val="single" w:sz="4" w:space="0" w:color="auto"/>
            </w:tcBorders>
            <w:shd w:val="clear" w:color="000000" w:fill="F0F4FA"/>
            <w:noWrap/>
            <w:vAlign w:val="bottom"/>
            <w:hideMark/>
          </w:tcPr>
          <w:p w14:paraId="00CB24DD" w14:textId="77777777" w:rsidR="001D6C98" w:rsidRPr="001D6C98" w:rsidRDefault="001D6C98" w:rsidP="001D6C98">
            <w:pPr>
              <w:spacing w:before="0" w:after="0" w:line="240" w:lineRule="auto"/>
              <w:rPr>
                <w:rFonts w:eastAsia="Times New Roman"/>
                <w:b/>
                <w:bCs/>
                <w:color w:val="000000"/>
                <w:kern w:val="0"/>
                <w14:ligatures w14:val="none"/>
              </w:rPr>
            </w:pPr>
            <w:r w:rsidRPr="001D6C98">
              <w:rPr>
                <w:rFonts w:eastAsia="Times New Roman"/>
                <w:b/>
                <w:bCs/>
                <w:color w:val="000000"/>
                <w:kern w:val="0"/>
                <w:lang w:val="en" w:eastAsia="ja-JP"/>
                <w14:ligatures w14:val="none"/>
              </w:rPr>
              <w:t>Authority</w:t>
            </w:r>
          </w:p>
        </w:tc>
        <w:tc>
          <w:tcPr>
            <w:tcW w:w="1557" w:type="dxa"/>
            <w:tcBorders>
              <w:top w:val="single" w:sz="4" w:space="0" w:color="auto"/>
              <w:left w:val="nil"/>
              <w:bottom w:val="single" w:sz="4" w:space="0" w:color="auto"/>
              <w:right w:val="single" w:sz="4" w:space="0" w:color="auto"/>
            </w:tcBorders>
            <w:shd w:val="clear" w:color="000000" w:fill="F0F4FA"/>
            <w:noWrap/>
            <w:vAlign w:val="bottom"/>
            <w:hideMark/>
          </w:tcPr>
          <w:p w14:paraId="0C51E577" w14:textId="77777777" w:rsidR="001D6C98" w:rsidRPr="001D6C98" w:rsidRDefault="001D6C98" w:rsidP="001D6C98">
            <w:pPr>
              <w:spacing w:before="0" w:after="0" w:line="240" w:lineRule="auto"/>
              <w:rPr>
                <w:rFonts w:eastAsia="Times New Roman"/>
                <w:b/>
                <w:bCs/>
                <w:color w:val="000000"/>
                <w:kern w:val="0"/>
                <w14:ligatures w14:val="none"/>
              </w:rPr>
            </w:pPr>
            <w:r w:rsidRPr="001D6C98">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CDCBC08" w14:textId="77777777" w:rsidR="001D6C98" w:rsidRPr="001D6C98" w:rsidRDefault="001D6C98" w:rsidP="001D6C98">
            <w:pPr>
              <w:spacing w:before="0" w:after="0" w:line="240" w:lineRule="auto"/>
              <w:rPr>
                <w:rFonts w:eastAsia="Times New Roman"/>
                <w:b/>
                <w:bCs/>
                <w:color w:val="000000"/>
                <w:kern w:val="0"/>
                <w14:ligatures w14:val="none"/>
              </w:rPr>
            </w:pPr>
            <w:r w:rsidRPr="001D6C98">
              <w:rPr>
                <w:rFonts w:eastAsia="Times New Roman"/>
                <w:b/>
                <w:bCs/>
                <w:color w:val="000000"/>
                <w:kern w:val="0"/>
                <w:lang w:val="en" w:eastAsia="ja-JP"/>
                <w14:ligatures w14:val="none"/>
              </w:rPr>
              <w:t>Effective Date</w:t>
            </w:r>
          </w:p>
        </w:tc>
      </w:tr>
      <w:tr w:rsidR="00935F81" w:rsidRPr="001D6C98" w14:paraId="7F720987" w14:textId="77777777" w:rsidTr="00935F81">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07880BCA" w14:textId="77777777" w:rsidR="00935F81" w:rsidRPr="001D6C98" w:rsidRDefault="00935F81" w:rsidP="00935F81">
            <w:pPr>
              <w:spacing w:before="0" w:after="0" w:line="240" w:lineRule="auto"/>
              <w:rPr>
                <w:rFonts w:eastAsia="Times New Roman"/>
                <w:color w:val="000000"/>
                <w:kern w:val="0"/>
                <w14:ligatures w14:val="none"/>
              </w:rPr>
            </w:pPr>
            <w:r w:rsidRPr="001D6C98">
              <w:rPr>
                <w:rFonts w:eastAsia="Times New Roman"/>
                <w:color w:val="000000"/>
                <w:kern w:val="0"/>
                <w:lang w:val="en" w:eastAsia="ja-JP"/>
                <w14:ligatures w14:val="none"/>
              </w:rPr>
              <w:t>Part C, Chapter 4</w:t>
            </w:r>
          </w:p>
        </w:tc>
        <w:tc>
          <w:tcPr>
            <w:tcW w:w="5074" w:type="dxa"/>
            <w:tcBorders>
              <w:top w:val="nil"/>
              <w:left w:val="nil"/>
              <w:bottom w:val="single" w:sz="4" w:space="0" w:color="auto"/>
              <w:right w:val="single" w:sz="4" w:space="0" w:color="auto"/>
            </w:tcBorders>
            <w:shd w:val="clear" w:color="auto" w:fill="auto"/>
            <w:noWrap/>
            <w:vAlign w:val="center"/>
            <w:hideMark/>
          </w:tcPr>
          <w:p w14:paraId="0938E894" w14:textId="2A1BBC2F" w:rsidR="00935F81" w:rsidRPr="001D6C98" w:rsidRDefault="00935F81" w:rsidP="00935F81">
            <w:pPr>
              <w:spacing w:before="0" w:after="0" w:line="240" w:lineRule="auto"/>
              <w:rPr>
                <w:rFonts w:eastAsia="Times New Roman"/>
                <w:color w:val="000000"/>
                <w:kern w:val="0"/>
                <w14:ligatures w14:val="none"/>
              </w:rPr>
            </w:pPr>
            <w:bookmarkStart w:id="0" w:name="_Hlk161955400"/>
            <w:r w:rsidRPr="00C742A8">
              <w:t xml:space="preserve">34 CFR </w:t>
            </w:r>
            <w:hyperlink r:id="rId10" w:history="1">
              <w:r w:rsidRPr="00C742A8">
                <w:rPr>
                  <w:rStyle w:val="Hyperlink"/>
                </w:rPr>
                <w:t>§361.37</w:t>
              </w:r>
            </w:hyperlink>
            <w:r w:rsidRPr="00C742A8">
              <w:t xml:space="preserve">, </w:t>
            </w:r>
            <w:hyperlink r:id="rId11" w:anchor="p-361.48(b)(4)" w:history="1">
              <w:r w:rsidRPr="00C742A8">
                <w:rPr>
                  <w:rStyle w:val="Hyperlink"/>
                </w:rPr>
                <w:t>§361.48(b)(4)</w:t>
              </w:r>
            </w:hyperlink>
            <w:r w:rsidRPr="00C742A8">
              <w:t xml:space="preserve">, and TWC Rule </w:t>
            </w:r>
            <w:hyperlink r:id="rId12" w:history="1">
              <w:r w:rsidRPr="00C742A8">
                <w:rPr>
                  <w:rStyle w:val="Hyperlink"/>
                </w:rPr>
                <w:t>§856.42</w:t>
              </w:r>
            </w:hyperlink>
            <w:bookmarkEnd w:id="0"/>
          </w:p>
        </w:tc>
        <w:tc>
          <w:tcPr>
            <w:tcW w:w="1557" w:type="dxa"/>
            <w:tcBorders>
              <w:top w:val="nil"/>
              <w:left w:val="nil"/>
              <w:bottom w:val="single" w:sz="4" w:space="0" w:color="auto"/>
              <w:right w:val="single" w:sz="4" w:space="0" w:color="auto"/>
            </w:tcBorders>
            <w:shd w:val="clear" w:color="auto" w:fill="auto"/>
            <w:noWrap/>
            <w:vAlign w:val="bottom"/>
            <w:hideMark/>
          </w:tcPr>
          <w:p w14:paraId="673F1EF9" w14:textId="77777777" w:rsidR="00935F81" w:rsidRPr="001D6C98" w:rsidRDefault="00935F81" w:rsidP="00935F81">
            <w:pPr>
              <w:spacing w:before="0" w:after="0" w:line="240" w:lineRule="auto"/>
              <w:rPr>
                <w:rFonts w:eastAsia="Times New Roman"/>
                <w:color w:val="000000"/>
                <w:kern w:val="0"/>
                <w14:ligatures w14:val="none"/>
              </w:rPr>
            </w:pPr>
            <w:r w:rsidRPr="001D6C98">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B9432E9" w14:textId="77777777" w:rsidR="00935F81" w:rsidRPr="001D6C98" w:rsidRDefault="00935F81" w:rsidP="00935F81">
            <w:pPr>
              <w:spacing w:before="0" w:after="0" w:line="240" w:lineRule="auto"/>
              <w:jc w:val="right"/>
              <w:rPr>
                <w:rFonts w:eastAsia="Times New Roman"/>
                <w:color w:val="000000"/>
                <w:kern w:val="0"/>
                <w14:ligatures w14:val="none"/>
              </w:rPr>
            </w:pPr>
            <w:r w:rsidRPr="001D6C98">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EF699B2" w14:textId="77777777" w:rsidR="00C742A8" w:rsidRPr="00DC5EBA" w:rsidRDefault="00C742A8" w:rsidP="00C742A8">
      <w:pPr>
        <w:spacing w:after="240"/>
      </w:pPr>
      <w:r w:rsidRPr="00DC5EBA">
        <w:t>Specifically, the purpose of this policy and these procedures is ensur</w:t>
      </w:r>
      <w:r>
        <w:t>ing</w:t>
      </w:r>
      <w:r w:rsidRPr="00DC5EBA">
        <w:t xml:space="preserve"> </w:t>
      </w:r>
      <w:r w:rsidRPr="008E16D1">
        <w:t>customers have access to all community resources and organizational benefits</w:t>
      </w:r>
      <w:r>
        <w:t xml:space="preserve"> that are appropriate to address their needs.</w:t>
      </w:r>
    </w:p>
    <w:p w14:paraId="077D4BD0" w14:textId="0E0D9B4E" w:rsidR="00F04098" w:rsidRDefault="00A001F3" w:rsidP="0033181C">
      <w:pPr>
        <w:pStyle w:val="Heading2"/>
      </w:pPr>
      <w:r>
        <w:t>DEFINITIONS</w:t>
      </w:r>
    </w:p>
    <w:p w14:paraId="131C1332" w14:textId="77777777" w:rsidR="00C742A8" w:rsidRPr="00211489" w:rsidRDefault="00C742A8" w:rsidP="00C742A8">
      <w:r w:rsidRPr="00211489">
        <w:rPr>
          <w:u w:val="single"/>
        </w:rPr>
        <w:t>Informed Choice</w:t>
      </w:r>
      <w:r w:rsidRPr="00211489">
        <w:t>: The means by which a customer chooses their rehabilitation path, from options based on their needs and circumstances and the TWC-VR rules.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B6459F5" w14:textId="77777777" w:rsidR="00C742A8" w:rsidRPr="00211489" w:rsidRDefault="00C742A8" w:rsidP="00C742A8">
      <w:pPr>
        <w:autoSpaceDE w:val="0"/>
        <w:autoSpaceDN w:val="0"/>
        <w:adjustRightInd w:val="0"/>
      </w:pPr>
      <w:r w:rsidRPr="00211489">
        <w:t xml:space="preserve">Information and referral services are provided by TWC-VR to ensure that customers have access to all community resources and organizational benefits. TWC-VR staff provide information and referral services to customers as needed, throughout the VR process. These services could be provided by other appropriate Federal and State programs, including other agencies within </w:t>
      </w:r>
      <w:r>
        <w:t>TWC</w:t>
      </w:r>
      <w:r w:rsidRPr="00211489">
        <w:t>. The TWC-VR staff must explain to the customer the nature and purpose of the information and the reason for each referral (e.g., comparable benefit, services not provided by TWC-VR).</w:t>
      </w:r>
    </w:p>
    <w:p w14:paraId="43DBCC25" w14:textId="77777777" w:rsidR="00C742A8" w:rsidRPr="00211489" w:rsidRDefault="00C742A8" w:rsidP="00C742A8">
      <w:r w:rsidRPr="00211489">
        <w:t>Though this service is provided by TWC-VR staff, at no cost, it is substantial and can result in short- and long-term positive impacts for the customer. This service can be provided to customers prior to the development of an</w:t>
      </w:r>
      <w:r>
        <w:t xml:space="preserve"> Individualized Plan for Employment</w:t>
      </w:r>
      <w:r w:rsidRPr="00211489">
        <w:t xml:space="preserve"> </w:t>
      </w:r>
      <w:r>
        <w:t>(</w:t>
      </w:r>
      <w:r w:rsidRPr="00211489">
        <w:t>IPE</w:t>
      </w:r>
      <w:r>
        <w:t>)</w:t>
      </w:r>
      <w:r w:rsidRPr="00211489">
        <w:t>; however, it is included in the IPE once developed.</w:t>
      </w:r>
    </w:p>
    <w:p w14:paraId="62336D7F" w14:textId="0FDA5B77" w:rsidR="00C742A8" w:rsidRPr="00211489" w:rsidRDefault="00C742A8" w:rsidP="00C742A8">
      <w:pPr>
        <w:pStyle w:val="Heading3"/>
      </w:pPr>
      <w:r w:rsidRPr="00211489">
        <w:lastRenderedPageBreak/>
        <w:t>Additional Policy Considerations</w:t>
      </w:r>
    </w:p>
    <w:p w14:paraId="69FC9AF8" w14:textId="77777777" w:rsidR="00C742A8" w:rsidRPr="00211489" w:rsidRDefault="00C742A8" w:rsidP="00C742A8">
      <w:pPr>
        <w:pStyle w:val="ListBulleted"/>
      </w:pPr>
      <w:r w:rsidRPr="00211489">
        <w:rPr>
          <w:u w:val="single"/>
        </w:rPr>
        <w:t>Comparable Services and Benefits</w:t>
      </w:r>
      <w:r w:rsidRPr="00211489">
        <w:t>: Information and referral services are exempt from the requirement to secure comparable services and benefits prior to TWC-VR expending funds.</w:t>
      </w:r>
      <w:r w:rsidRPr="00211489">
        <w:rPr>
          <w:u w:val="single"/>
        </w:rPr>
        <w:t xml:space="preserve"> </w:t>
      </w:r>
    </w:p>
    <w:p w14:paraId="1AD20346" w14:textId="77777777" w:rsidR="00C742A8" w:rsidRPr="00211489" w:rsidRDefault="00C742A8" w:rsidP="00C742A8">
      <w:pPr>
        <w:pStyle w:val="ListBulleted"/>
      </w:pPr>
      <w:r w:rsidRPr="00211489">
        <w:rPr>
          <w:u w:val="single"/>
        </w:rPr>
        <w:t>Customer Participation in the Cost of Services</w:t>
      </w:r>
      <w:r w:rsidRPr="00211489">
        <w:t>: Information and referral services are exempt from applying Basic Living Requirements (BLR) and, therefore, the customer is not required to participate in the cost of services.</w:t>
      </w:r>
    </w:p>
    <w:p w14:paraId="05D44C7B" w14:textId="77777777" w:rsidR="00C742A8" w:rsidRPr="00211489" w:rsidRDefault="00C742A8" w:rsidP="00C742A8">
      <w:pPr>
        <w:pStyle w:val="ListBulleted"/>
      </w:pPr>
      <w:bookmarkStart w:id="1" w:name="_Hlk169817564"/>
      <w:r w:rsidRPr="00211489">
        <w:rPr>
          <w:u w:val="single"/>
        </w:rPr>
        <w:t>Recipients of Social Security Disability Benefits</w:t>
      </w:r>
      <w:r w:rsidRPr="00211489">
        <w:t>: Recipients of Supplemental Security Income (SSI) or Social Security Disability Insurance (SSDI), due to the customer</w:t>
      </w:r>
      <w:r>
        <w:t>'</w:t>
      </w:r>
      <w:r w:rsidRPr="00211489">
        <w:t>s disability, are exempt from the requirement to participate in the cost of TWC-VR services regardless of income.</w:t>
      </w:r>
    </w:p>
    <w:p w14:paraId="3C86B911" w14:textId="77777777" w:rsidR="00C742A8" w:rsidRPr="00211489" w:rsidRDefault="00C742A8" w:rsidP="00C742A8">
      <w:pPr>
        <w:pStyle w:val="ListBulleted"/>
      </w:pPr>
      <w:bookmarkStart w:id="2" w:name="_Hlk162890515"/>
      <w:r w:rsidRPr="00211489">
        <w:rPr>
          <w:u w:val="single"/>
        </w:rPr>
        <w:t>Exceptions to Policy</w:t>
      </w:r>
      <w:r w:rsidRPr="00211489">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p>
    <w:bookmarkEnd w:id="1"/>
    <w:p w14:paraId="11E48025" w14:textId="511E42FF" w:rsidR="00934027" w:rsidRDefault="00145D80" w:rsidP="00CF06B7">
      <w:pPr>
        <w:pStyle w:val="Heading2"/>
      </w:pPr>
      <w:r>
        <w:t>PROCEDURES</w:t>
      </w:r>
    </w:p>
    <w:p w14:paraId="3BF5E84A" w14:textId="7C8F9C76" w:rsidR="000538A8" w:rsidRDefault="00C742A8" w:rsidP="00896AC1">
      <w:pPr>
        <w:pStyle w:val="Heading3"/>
        <w:numPr>
          <w:ilvl w:val="0"/>
          <w:numId w:val="37"/>
        </w:numPr>
      </w:pPr>
      <w:r>
        <w:t>Types of Programs</w:t>
      </w:r>
    </w:p>
    <w:p w14:paraId="430477BC" w14:textId="2C7245A4" w:rsidR="00C742A8" w:rsidRDefault="00C742A8" w:rsidP="00C742A8">
      <w:pPr>
        <w:autoSpaceDE w:val="0"/>
        <w:autoSpaceDN w:val="0"/>
        <w:adjustRightInd w:val="0"/>
      </w:pPr>
      <w:r w:rsidRPr="00211489">
        <w:t>TWC-VR staff provide information and referral services to appropriate programs and service providers best suited to address the specific rehabilitation, independent living, and employment needs of the customer.</w:t>
      </w:r>
    </w:p>
    <w:p w14:paraId="1D723E25" w14:textId="77777777" w:rsidR="00C742A8" w:rsidRPr="00211489" w:rsidRDefault="00C742A8" w:rsidP="00C742A8">
      <w:r w:rsidRPr="00211489">
        <w:t>Examples include, but are not limited to, the following:</w:t>
      </w:r>
    </w:p>
    <w:p w14:paraId="42C6C990" w14:textId="77777777" w:rsidR="00C742A8" w:rsidRPr="00211489" w:rsidRDefault="00C742A8" w:rsidP="00C742A8">
      <w:pPr>
        <w:pStyle w:val="ListBulleted"/>
      </w:pPr>
      <w:r w:rsidRPr="00211489">
        <w:t>Housing</w:t>
      </w:r>
      <w:r>
        <w:t>;</w:t>
      </w:r>
    </w:p>
    <w:p w14:paraId="5F2F7506" w14:textId="77777777" w:rsidR="00C742A8" w:rsidRPr="00211489" w:rsidRDefault="00C742A8" w:rsidP="00C742A8">
      <w:pPr>
        <w:pStyle w:val="ListBulleted"/>
      </w:pPr>
      <w:r w:rsidRPr="00211489">
        <w:t>Food and general assistance</w:t>
      </w:r>
      <w:r>
        <w:t>;</w:t>
      </w:r>
    </w:p>
    <w:p w14:paraId="3AA94D9B" w14:textId="77777777" w:rsidR="00C742A8" w:rsidRPr="00211489" w:rsidRDefault="00C742A8" w:rsidP="00C742A8">
      <w:pPr>
        <w:pStyle w:val="ListBulleted"/>
      </w:pPr>
      <w:r w:rsidRPr="00211489">
        <w:t>Social Security Administration</w:t>
      </w:r>
      <w:r>
        <w:t>;</w:t>
      </w:r>
    </w:p>
    <w:p w14:paraId="0C1318C4" w14:textId="77777777" w:rsidR="00C742A8" w:rsidRPr="00211489" w:rsidRDefault="00C742A8" w:rsidP="00C742A8">
      <w:pPr>
        <w:pStyle w:val="ListBulleted"/>
      </w:pPr>
      <w:r w:rsidRPr="00211489">
        <w:t>FAFSA and other educational resources</w:t>
      </w:r>
      <w:r>
        <w:t>;</w:t>
      </w:r>
    </w:p>
    <w:p w14:paraId="53A9C86E" w14:textId="77777777" w:rsidR="00C742A8" w:rsidRPr="00211489" w:rsidRDefault="00C742A8" w:rsidP="00C742A8">
      <w:pPr>
        <w:pStyle w:val="ListBulleted"/>
      </w:pPr>
      <w:r w:rsidRPr="00211489">
        <w:t>Texas Workforce Commission</w:t>
      </w:r>
      <w:r>
        <w:t>;</w:t>
      </w:r>
    </w:p>
    <w:p w14:paraId="337B0AC3" w14:textId="77777777" w:rsidR="00C742A8" w:rsidRPr="00211489" w:rsidRDefault="00C742A8" w:rsidP="00C742A8">
      <w:pPr>
        <w:pStyle w:val="ListBulleted"/>
      </w:pPr>
      <w:r w:rsidRPr="00211489">
        <w:t>Adult education agencies</w:t>
      </w:r>
      <w:r>
        <w:t>;</w:t>
      </w:r>
    </w:p>
    <w:p w14:paraId="1258BCC6" w14:textId="77777777" w:rsidR="00C742A8" w:rsidRPr="00211489" w:rsidRDefault="00C742A8" w:rsidP="00C742A8">
      <w:pPr>
        <w:pStyle w:val="ListBulleted"/>
      </w:pPr>
      <w:r w:rsidRPr="00211489">
        <w:t>Developmental disability agencies</w:t>
      </w:r>
      <w:r>
        <w:t>;</w:t>
      </w:r>
    </w:p>
    <w:p w14:paraId="714EBAEA" w14:textId="77777777" w:rsidR="00C742A8" w:rsidRPr="00211489" w:rsidRDefault="00C742A8" w:rsidP="00C742A8">
      <w:pPr>
        <w:pStyle w:val="ListBulleted"/>
      </w:pPr>
      <w:r w:rsidRPr="00211489">
        <w:t>Mental health providers</w:t>
      </w:r>
      <w:r>
        <w:t>;</w:t>
      </w:r>
    </w:p>
    <w:p w14:paraId="74658BAE" w14:textId="77777777" w:rsidR="00C742A8" w:rsidRPr="00211489" w:rsidRDefault="00C742A8" w:rsidP="00C742A8">
      <w:pPr>
        <w:pStyle w:val="ListBulleted"/>
      </w:pPr>
      <w:r w:rsidRPr="00211489">
        <w:lastRenderedPageBreak/>
        <w:t>Insurance programs (e.g. Medicaid)</w:t>
      </w:r>
      <w:r>
        <w:t>;</w:t>
      </w:r>
    </w:p>
    <w:p w14:paraId="76AC88F8" w14:textId="77777777" w:rsidR="00C742A8" w:rsidRPr="00211489" w:rsidRDefault="00C742A8" w:rsidP="00C742A8">
      <w:pPr>
        <w:pStyle w:val="ListBulleted"/>
      </w:pPr>
      <w:r w:rsidRPr="00211489">
        <w:t>Disability resource centers</w:t>
      </w:r>
      <w:r>
        <w:t>; and</w:t>
      </w:r>
    </w:p>
    <w:p w14:paraId="540F8E8C" w14:textId="77777777" w:rsidR="00C742A8" w:rsidRPr="00211489" w:rsidRDefault="00C742A8" w:rsidP="00C742A8">
      <w:pPr>
        <w:pStyle w:val="ListBulleted"/>
      </w:pPr>
      <w:r w:rsidRPr="00211489">
        <w:t>Independent living centers</w:t>
      </w:r>
      <w:r>
        <w:t>.</w:t>
      </w:r>
    </w:p>
    <w:p w14:paraId="73DC85D2" w14:textId="77777777" w:rsidR="00C742A8" w:rsidRPr="00211489" w:rsidRDefault="00C742A8" w:rsidP="00C742A8">
      <w:r w:rsidRPr="00211489">
        <w:t xml:space="preserve">When needed, </w:t>
      </w:r>
      <w:r>
        <w:t xml:space="preserve">TWC-VR staff can </w:t>
      </w:r>
      <w:r w:rsidRPr="00211489">
        <w:t xml:space="preserve">use the </w:t>
      </w:r>
      <w:bookmarkStart w:id="3" w:name="_Hlk158574453"/>
      <w:r w:rsidRPr="00211489">
        <w:fldChar w:fldCharType="begin"/>
      </w:r>
      <w:r w:rsidRPr="00211489">
        <w:instrText>HYPERLINK "https://www.211texas.org/"</w:instrText>
      </w:r>
      <w:r w:rsidRPr="00211489">
        <w:fldChar w:fldCharType="separate"/>
      </w:r>
      <w:r w:rsidRPr="00211489">
        <w:rPr>
          <w:rStyle w:val="Hyperlink"/>
        </w:rPr>
        <w:t>Texas 211: Information and Referral Network (Finding Help in Texas)</w:t>
      </w:r>
      <w:r w:rsidRPr="00211489">
        <w:fldChar w:fldCharType="end"/>
      </w:r>
      <w:bookmarkEnd w:id="3"/>
      <w:r w:rsidRPr="00211489">
        <w:t xml:space="preserve"> to assist in identifying available resources.</w:t>
      </w:r>
    </w:p>
    <w:p w14:paraId="6BD9C924" w14:textId="77777777" w:rsidR="00C742A8" w:rsidRDefault="00C742A8" w:rsidP="00C742A8">
      <w:pPr>
        <w:pStyle w:val="Heading3"/>
      </w:pPr>
      <w:r w:rsidRPr="00211489">
        <w:t>Referral Documentation</w:t>
      </w:r>
    </w:p>
    <w:p w14:paraId="6E06B7E1" w14:textId="0C5D2179" w:rsidR="00C742A8" w:rsidRPr="00211489" w:rsidRDefault="00C742A8" w:rsidP="00C742A8">
      <w:pPr>
        <w:autoSpaceDE w:val="0"/>
        <w:autoSpaceDN w:val="0"/>
        <w:adjustRightInd w:val="0"/>
      </w:pPr>
      <w:r w:rsidRPr="00211489">
        <w:t>When a customer is referred for services to Federal or State programs</w:t>
      </w:r>
      <w:r>
        <w:t>,</w:t>
      </w:r>
      <w:r w:rsidRPr="00211489">
        <w:t xml:space="preserve"> including services provided by TWC, documentation must include the following:</w:t>
      </w:r>
    </w:p>
    <w:p w14:paraId="12C936D7" w14:textId="77777777" w:rsidR="00C742A8" w:rsidRPr="00211489" w:rsidRDefault="00C742A8" w:rsidP="00C742A8">
      <w:pPr>
        <w:pStyle w:val="ListBulleted"/>
      </w:pPr>
      <w:r w:rsidRPr="00211489">
        <w:t>Notice of the referral;</w:t>
      </w:r>
    </w:p>
    <w:p w14:paraId="4C499292" w14:textId="77777777" w:rsidR="00C742A8" w:rsidRPr="00211489" w:rsidRDefault="00C742A8" w:rsidP="00C742A8">
      <w:pPr>
        <w:pStyle w:val="ListBulleted"/>
      </w:pPr>
      <w:r w:rsidRPr="00211489">
        <w:t>Information and advice that was provided regarding the most suitable services to assist the customer to prepare for, secure, retain, advance in, or regain CIE; and</w:t>
      </w:r>
    </w:p>
    <w:p w14:paraId="3D88DB48" w14:textId="77777777" w:rsidR="00C742A8" w:rsidRPr="00211489" w:rsidRDefault="00C742A8" w:rsidP="00C742A8">
      <w:pPr>
        <w:pStyle w:val="ListBulleted"/>
      </w:pPr>
      <w:r w:rsidRPr="00211489">
        <w:t>Information identifying a specific point of contact within the agency to which the customer is being referred.</w:t>
      </w:r>
    </w:p>
    <w:p w14:paraId="0A5BDFBE" w14:textId="77777777" w:rsidR="00C742A8" w:rsidRDefault="00C742A8" w:rsidP="00C742A8">
      <w:pPr>
        <w:pStyle w:val="Heading3"/>
      </w:pPr>
      <w:r w:rsidRPr="00211489">
        <w:t xml:space="preserve">Customers Choosing Not to Pursue </w:t>
      </w:r>
      <w:r>
        <w:t>CIE</w:t>
      </w:r>
    </w:p>
    <w:p w14:paraId="465136BE" w14:textId="66A606B3" w:rsidR="00C742A8" w:rsidRPr="00211489" w:rsidRDefault="00C742A8" w:rsidP="00C742A8">
      <w:pPr>
        <w:autoSpaceDE w:val="0"/>
        <w:autoSpaceDN w:val="0"/>
        <w:adjustRightInd w:val="0"/>
      </w:pPr>
      <w:r w:rsidRPr="00211489">
        <w:t xml:space="preserve">When TWC-VR staff are providing information and referral services to a customer who makes an informed choice not to pursue an employment outcome in </w:t>
      </w:r>
      <w:r>
        <w:t>CIE</w:t>
      </w:r>
      <w:r w:rsidRPr="00211489">
        <w:t>, the following information must be provided to the customer and documented in a case note:</w:t>
      </w:r>
    </w:p>
    <w:p w14:paraId="34ADEBD8" w14:textId="77777777" w:rsidR="00C742A8" w:rsidRPr="00211489" w:rsidRDefault="00C742A8" w:rsidP="00C742A8">
      <w:pPr>
        <w:pStyle w:val="ListBulleted"/>
      </w:pPr>
      <w:r w:rsidRPr="00211489">
        <w:t>Purpose of the VR program;</w:t>
      </w:r>
    </w:p>
    <w:p w14:paraId="0F3D88A0" w14:textId="77777777" w:rsidR="00C742A8" w:rsidRPr="00211489" w:rsidRDefault="00C742A8" w:rsidP="00C742A8">
      <w:pPr>
        <w:pStyle w:val="ListBulleted"/>
      </w:pPr>
      <w:r w:rsidRPr="00211489">
        <w:t>Availability of employment options, and of TWC-VR services available to assist the customer in achieving an appropriate employment outcome;</w:t>
      </w:r>
    </w:p>
    <w:p w14:paraId="46AF1CB8" w14:textId="77777777" w:rsidR="00C742A8" w:rsidRPr="00211489" w:rsidRDefault="00C742A8" w:rsidP="00C742A8">
      <w:pPr>
        <w:pStyle w:val="ListBulleted"/>
      </w:pPr>
      <w:r w:rsidRPr="00211489">
        <w:t>Option for TWC-VR services to be provided in an extended employment setting if necessary for purposes of training or otherwise preparing for employment in an integrated setting;</w:t>
      </w:r>
    </w:p>
    <w:p w14:paraId="46ED9A55" w14:textId="77777777" w:rsidR="00C742A8" w:rsidRPr="00211489" w:rsidRDefault="00C742A8" w:rsidP="00C742A8">
      <w:pPr>
        <w:pStyle w:val="ListBulleted"/>
      </w:pPr>
      <w:r w:rsidRPr="00211489">
        <w:t>Customer's right to reapply for services if they decide to pursue an employment outcome in CIE in the future; and</w:t>
      </w:r>
    </w:p>
    <w:p w14:paraId="24468067" w14:textId="77777777" w:rsidR="00C742A8" w:rsidRPr="00211489" w:rsidRDefault="00C742A8" w:rsidP="00C742A8">
      <w:pPr>
        <w:pStyle w:val="ListBulleted"/>
      </w:pPr>
      <w:r w:rsidRPr="00211489">
        <w:t xml:space="preserve">Benefits planning services to obtain information concerning the ability to work while receiving benefits from </w:t>
      </w:r>
      <w:r>
        <w:t xml:space="preserve">the </w:t>
      </w:r>
      <w:r w:rsidRPr="00211489">
        <w:t>S</w:t>
      </w:r>
      <w:r>
        <w:t xml:space="preserve">ocial </w:t>
      </w:r>
      <w:r w:rsidRPr="00211489">
        <w:t>S</w:t>
      </w:r>
      <w:r>
        <w:t xml:space="preserve">ecurity </w:t>
      </w:r>
      <w:r w:rsidRPr="00211489">
        <w:t>A</w:t>
      </w:r>
      <w:r>
        <w:t>dministration (SSA)</w:t>
      </w:r>
      <w:r w:rsidRPr="00211489">
        <w:t>.</w:t>
      </w:r>
    </w:p>
    <w:p w14:paraId="473FF14C" w14:textId="77777777" w:rsidR="00C742A8" w:rsidRDefault="00C742A8" w:rsidP="00C742A8">
      <w:pPr>
        <w:pStyle w:val="Heading3"/>
      </w:pPr>
      <w:r w:rsidRPr="00211489">
        <w:t>Case Closure</w:t>
      </w:r>
    </w:p>
    <w:p w14:paraId="3FB8BADF" w14:textId="027F1E09" w:rsidR="00C742A8" w:rsidRPr="00211489" w:rsidRDefault="00C742A8" w:rsidP="00C742A8">
      <w:pPr>
        <w:autoSpaceDE w:val="0"/>
        <w:autoSpaceDN w:val="0"/>
        <w:adjustRightInd w:val="0"/>
      </w:pPr>
      <w:r>
        <w:t>W</w:t>
      </w:r>
      <w:r w:rsidRPr="00211489">
        <w:t xml:space="preserve">hen the </w:t>
      </w:r>
      <w:r>
        <w:t>VR Counselor</w:t>
      </w:r>
      <w:r w:rsidRPr="00211489">
        <w:t xml:space="preserve"> closes the case before eligibility, information and referral services must be provided if—</w:t>
      </w:r>
    </w:p>
    <w:p w14:paraId="2CE5D37B" w14:textId="77777777" w:rsidR="00C742A8" w:rsidRPr="00211489" w:rsidRDefault="00C742A8" w:rsidP="00C742A8">
      <w:pPr>
        <w:pStyle w:val="ListBulleted"/>
      </w:pPr>
      <w:r w:rsidRPr="00211489">
        <w:t xml:space="preserve">The customer is available and needs other services; </w:t>
      </w:r>
    </w:p>
    <w:p w14:paraId="07EEE0B1" w14:textId="77777777" w:rsidR="00C742A8" w:rsidRPr="00211489" w:rsidRDefault="00C742A8" w:rsidP="00C742A8">
      <w:pPr>
        <w:pStyle w:val="ListBulleted"/>
      </w:pPr>
      <w:r w:rsidRPr="00211489">
        <w:lastRenderedPageBreak/>
        <w:t>Those services are available from another agency or program</w:t>
      </w:r>
      <w:r>
        <w:t>; and/or</w:t>
      </w:r>
    </w:p>
    <w:p w14:paraId="722E92F5" w14:textId="77777777" w:rsidR="00C742A8" w:rsidRPr="00211489" w:rsidRDefault="00C742A8" w:rsidP="00C742A8">
      <w:pPr>
        <w:pStyle w:val="ListBulleted"/>
      </w:pPr>
      <w:r w:rsidRPr="00211489">
        <w:t xml:space="preserve">The customer provides an </w:t>
      </w:r>
      <w:r w:rsidRPr="00211489">
        <w:rPr>
          <w:i/>
          <w:iCs/>
        </w:rPr>
        <w:t>Authorization for Release of Confidential Customer Records and Information (VR1517-2)</w:t>
      </w:r>
      <w:r w:rsidRPr="00211489">
        <w:t xml:space="preserve">; the </w:t>
      </w:r>
      <w:r>
        <w:t>VR Counselor</w:t>
      </w:r>
      <w:r w:rsidRPr="00211489">
        <w:t xml:space="preserve"> may contact the agency or program, set up an appointment for the customer, and provide the agency or program with information requested about the customer, when appropriate.</w:t>
      </w:r>
    </w:p>
    <w:p w14:paraId="424771A3" w14:textId="5817096D" w:rsidR="00145D80" w:rsidRDefault="009033A9" w:rsidP="00DF5CB7">
      <w:pPr>
        <w:pStyle w:val="Heading2"/>
      </w:pPr>
      <w:r>
        <w:t>APPROVALS &amp; CONSULTATIONS</w:t>
      </w:r>
    </w:p>
    <w:p w14:paraId="3018B412" w14:textId="49DAD6AB" w:rsidR="009033A9" w:rsidRPr="00E57035" w:rsidRDefault="00A70A57" w:rsidP="00C742A8">
      <w:r w:rsidRPr="00E57035">
        <w:t>There are no approvals or consultations for this policy and these procedures</w:t>
      </w:r>
      <w:r w:rsidR="00133CB2" w:rsidRPr="00E57035">
        <w:t>.</w:t>
      </w:r>
    </w:p>
    <w:p w14:paraId="21B679DD" w14:textId="77777777" w:rsidR="00F874E0" w:rsidRPr="00B450E3" w:rsidRDefault="00F874E0" w:rsidP="00F874E0">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706DCEC7" w14:textId="77777777" w:rsidR="00F874E0" w:rsidRPr="009D5287" w:rsidRDefault="00F874E0" w:rsidP="00F874E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F874E0" w:rsidRPr="009D5287" w14:paraId="4A4C7745" w14:textId="77777777" w:rsidTr="00233167">
        <w:tc>
          <w:tcPr>
            <w:tcW w:w="1770" w:type="dxa"/>
            <w:shd w:val="clear" w:color="auto" w:fill="F0F4FA" w:themeFill="accent4"/>
            <w:vAlign w:val="center"/>
          </w:tcPr>
          <w:p w14:paraId="3FA28AAD" w14:textId="77777777" w:rsidR="00F874E0" w:rsidRPr="009D5287" w:rsidRDefault="00F874E0"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59AED55B" w14:textId="77777777" w:rsidR="00F874E0" w:rsidRPr="009D5287" w:rsidRDefault="00F874E0" w:rsidP="00233167">
            <w:pPr>
              <w:rPr>
                <w:b/>
                <w:lang w:val="en" w:eastAsia="ja-JP"/>
              </w:rPr>
            </w:pPr>
            <w:r w:rsidRPr="009D5287">
              <w:rPr>
                <w:b/>
                <w:lang w:val="en" w:eastAsia="ja-JP"/>
              </w:rPr>
              <w:t>Type</w:t>
            </w:r>
          </w:p>
        </w:tc>
        <w:tc>
          <w:tcPr>
            <w:tcW w:w="6608" w:type="dxa"/>
            <w:shd w:val="clear" w:color="auto" w:fill="F0F4FA" w:themeFill="accent4"/>
            <w:vAlign w:val="center"/>
          </w:tcPr>
          <w:p w14:paraId="233BDAFA" w14:textId="77777777" w:rsidR="00F874E0" w:rsidRPr="009D5287" w:rsidRDefault="00F874E0" w:rsidP="00233167">
            <w:pPr>
              <w:rPr>
                <w:b/>
                <w:lang w:val="en" w:eastAsia="ja-JP"/>
              </w:rPr>
            </w:pPr>
            <w:r w:rsidRPr="009D5287">
              <w:rPr>
                <w:b/>
                <w:lang w:val="en" w:eastAsia="ja-JP"/>
              </w:rPr>
              <w:t>Change Description</w:t>
            </w:r>
          </w:p>
        </w:tc>
      </w:tr>
      <w:tr w:rsidR="00F874E0" w:rsidRPr="009D5287" w14:paraId="237FF988" w14:textId="77777777" w:rsidTr="00233167">
        <w:tc>
          <w:tcPr>
            <w:tcW w:w="1770" w:type="dxa"/>
          </w:tcPr>
          <w:p w14:paraId="728872B9" w14:textId="77777777" w:rsidR="00F874E0" w:rsidRPr="009D5287" w:rsidRDefault="00F874E0"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77A6092E" w14:textId="77777777" w:rsidR="00F874E0" w:rsidRPr="009D5287" w:rsidRDefault="00F874E0" w:rsidP="00233167">
            <w:r w:rsidRPr="009D5287">
              <w:t>New</w:t>
            </w:r>
          </w:p>
        </w:tc>
        <w:tc>
          <w:tcPr>
            <w:tcW w:w="6608" w:type="dxa"/>
          </w:tcPr>
          <w:p w14:paraId="37BB3228" w14:textId="77777777" w:rsidR="00F874E0" w:rsidRPr="009D5287" w:rsidRDefault="00F874E0" w:rsidP="00233167">
            <w:pPr>
              <w:rPr>
                <w:lang w:val="en" w:eastAsia="ja-JP"/>
              </w:rPr>
            </w:pPr>
            <w:r w:rsidRPr="009D5287">
              <w:t>VRSM Policy and Procedure Rewrite</w:t>
            </w:r>
          </w:p>
        </w:tc>
      </w:tr>
    </w:tbl>
    <w:p w14:paraId="5EB73B5E" w14:textId="65A411AB" w:rsidR="001901F0" w:rsidRPr="00E57035" w:rsidRDefault="001901F0" w:rsidP="00F874E0">
      <w:pPr>
        <w:pStyle w:val="Heading2"/>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329F" w14:textId="77777777" w:rsidR="00977FB3" w:rsidRDefault="00977FB3" w:rsidP="00895186">
      <w:r>
        <w:separator/>
      </w:r>
    </w:p>
  </w:endnote>
  <w:endnote w:type="continuationSeparator" w:id="0">
    <w:p w14:paraId="16C6315C" w14:textId="77777777" w:rsidR="00977FB3" w:rsidRDefault="00977FB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1D9BC20" w:rsidR="00B24E6C" w:rsidRDefault="00C742A8" w:rsidP="00895186">
    <w:pPr>
      <w:pStyle w:val="Footer"/>
    </w:pPr>
    <w:r>
      <w:rPr>
        <w:noProof/>
      </w:rPr>
      <mc:AlternateContent>
        <mc:Choice Requires="wps">
          <w:drawing>
            <wp:anchor distT="0" distB="0" distL="114300" distR="114300" simplePos="0" relativeHeight="251661312" behindDoc="0" locked="0" layoutInCell="1" allowOverlap="1" wp14:anchorId="00B0B3F3" wp14:editId="637BDB0D">
              <wp:simplePos x="0" y="0"/>
              <wp:positionH relativeFrom="column">
                <wp:posOffset>-374015</wp:posOffset>
              </wp:positionH>
              <wp:positionV relativeFrom="paragraph">
                <wp:posOffset>5715</wp:posOffset>
              </wp:positionV>
              <wp:extent cx="48310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831080" cy="488950"/>
                      </a:xfrm>
                      <a:prstGeom prst="rect">
                        <a:avLst/>
                      </a:prstGeom>
                      <a:noFill/>
                      <a:ln w="6350">
                        <a:noFill/>
                      </a:ln>
                    </wps:spPr>
                    <wps:txbx>
                      <w:txbxContent>
                        <w:p w14:paraId="25686EF3" w14:textId="5AF08534" w:rsidR="00501E08" w:rsidRPr="00501E08" w:rsidRDefault="00C742A8" w:rsidP="00895186">
                          <w:r>
                            <w:t>Part C, Chapter 4: Information and Referral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80.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" filled="f" stroked="f" strokeweight=".5pt">
              <v:textbox>
                <w:txbxContent>
                  <w:p w14:paraId="25686EF3" w14:textId="5AF08534" w:rsidR="00501E08" w:rsidRPr="00501E08" w:rsidRDefault="00C742A8" w:rsidP="00895186">
                    <w:r>
                      <w:t>Part C, Chapter 4: Information and Referral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2FE5B4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C2B8" w14:textId="77777777" w:rsidR="00977FB3" w:rsidRDefault="00977FB3" w:rsidP="00895186">
      <w:r>
        <w:separator/>
      </w:r>
    </w:p>
  </w:footnote>
  <w:footnote w:type="continuationSeparator" w:id="0">
    <w:p w14:paraId="3DAA465D" w14:textId="77777777" w:rsidR="00977FB3" w:rsidRDefault="00977FB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2980BB6"/>
    <w:multiLevelType w:val="hybridMultilevel"/>
    <w:tmpl w:val="85BC18E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423BEB"/>
    <w:multiLevelType w:val="hybridMultilevel"/>
    <w:tmpl w:val="D5883AC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5E526F"/>
    <w:multiLevelType w:val="hybridMultilevel"/>
    <w:tmpl w:val="1202453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4C982774"/>
    <w:multiLevelType w:val="hybridMultilevel"/>
    <w:tmpl w:val="5C34C86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F1BDE"/>
    <w:multiLevelType w:val="hybridMultilevel"/>
    <w:tmpl w:val="8F7C08D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32"/>
  </w:num>
  <w:num w:numId="5" w16cid:durableId="1893686843">
    <w:abstractNumId w:val="21"/>
  </w:num>
  <w:num w:numId="6" w16cid:durableId="760954600">
    <w:abstractNumId w:val="26"/>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7"/>
  </w:num>
  <w:num w:numId="12" w16cid:durableId="1548175440">
    <w:abstractNumId w:val="33"/>
  </w:num>
  <w:num w:numId="13" w16cid:durableId="975644156">
    <w:abstractNumId w:val="7"/>
  </w:num>
  <w:num w:numId="14" w16cid:durableId="2099713293">
    <w:abstractNumId w:val="18"/>
  </w:num>
  <w:num w:numId="15" w16cid:durableId="1594316770">
    <w:abstractNumId w:val="23"/>
  </w:num>
  <w:num w:numId="16" w16cid:durableId="700741873">
    <w:abstractNumId w:val="30"/>
  </w:num>
  <w:num w:numId="17" w16cid:durableId="1651835230">
    <w:abstractNumId w:val="17"/>
  </w:num>
  <w:num w:numId="18" w16cid:durableId="883299119">
    <w:abstractNumId w:val="31"/>
  </w:num>
  <w:num w:numId="19" w16cid:durableId="84305632">
    <w:abstractNumId w:val="12"/>
  </w:num>
  <w:num w:numId="20" w16cid:durableId="1057705478">
    <w:abstractNumId w:val="36"/>
  </w:num>
  <w:num w:numId="21" w16cid:durableId="96758055">
    <w:abstractNumId w:val="24"/>
  </w:num>
  <w:num w:numId="22" w16cid:durableId="722797963">
    <w:abstractNumId w:val="9"/>
  </w:num>
  <w:num w:numId="23" w16cid:durableId="1638485069">
    <w:abstractNumId w:val="15"/>
  </w:num>
  <w:num w:numId="24" w16cid:durableId="1439984590">
    <w:abstractNumId w:val="36"/>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7"/>
  </w:num>
  <w:num w:numId="32" w16cid:durableId="191573243">
    <w:abstractNumId w:val="29"/>
  </w:num>
  <w:num w:numId="33" w16cid:durableId="718751240">
    <w:abstractNumId w:val="3"/>
  </w:num>
  <w:num w:numId="34" w16cid:durableId="1367289556">
    <w:abstractNumId w:val="19"/>
  </w:num>
  <w:num w:numId="35" w16cid:durableId="1934777624">
    <w:abstractNumId w:val="11"/>
  </w:num>
  <w:num w:numId="36" w16cid:durableId="1647272484">
    <w:abstractNumId w:val="34"/>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592709">
    <w:abstractNumId w:val="25"/>
  </w:num>
  <w:num w:numId="40" w16cid:durableId="1541745267">
    <w:abstractNumId w:val="35"/>
  </w:num>
  <w:num w:numId="41" w16cid:durableId="1790127501">
    <w:abstractNumId w:val="4"/>
  </w:num>
  <w:num w:numId="42" w16cid:durableId="1624190364">
    <w:abstractNumId w:val="22"/>
  </w:num>
  <w:num w:numId="43" w16cid:durableId="15063607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4C0E"/>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6C98"/>
    <w:rsid w:val="001D7D23"/>
    <w:rsid w:val="001E0562"/>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A0C44"/>
    <w:rsid w:val="006D108A"/>
    <w:rsid w:val="006D7231"/>
    <w:rsid w:val="006F605F"/>
    <w:rsid w:val="00700604"/>
    <w:rsid w:val="00701EDA"/>
    <w:rsid w:val="007253AC"/>
    <w:rsid w:val="00732372"/>
    <w:rsid w:val="00737F40"/>
    <w:rsid w:val="007400FF"/>
    <w:rsid w:val="0075656E"/>
    <w:rsid w:val="00781378"/>
    <w:rsid w:val="00785189"/>
    <w:rsid w:val="0079605C"/>
    <w:rsid w:val="007C2A47"/>
    <w:rsid w:val="007D6F90"/>
    <w:rsid w:val="007F11FA"/>
    <w:rsid w:val="007F608C"/>
    <w:rsid w:val="008021D5"/>
    <w:rsid w:val="008101E7"/>
    <w:rsid w:val="00817FD0"/>
    <w:rsid w:val="00823238"/>
    <w:rsid w:val="00831F7C"/>
    <w:rsid w:val="00837800"/>
    <w:rsid w:val="008445D4"/>
    <w:rsid w:val="00851005"/>
    <w:rsid w:val="00853F63"/>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35F81"/>
    <w:rsid w:val="0094174B"/>
    <w:rsid w:val="0095013C"/>
    <w:rsid w:val="00962B98"/>
    <w:rsid w:val="00977FB3"/>
    <w:rsid w:val="00984C14"/>
    <w:rsid w:val="00986961"/>
    <w:rsid w:val="00995554"/>
    <w:rsid w:val="009B3100"/>
    <w:rsid w:val="009F4153"/>
    <w:rsid w:val="00A001F3"/>
    <w:rsid w:val="00A05ED7"/>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42A8"/>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96B78"/>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874E0"/>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742A8"/>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ection-361.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DAA26A4B-2839-44AB-BD90-37C92C7C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8DC3E-A25B-477A-BD0B-3459286F2093}">
  <ds:schemaRefs>
    <ds:schemaRef ds:uri="http://schemas.microsoft.com/sharepoint/v3/contenttype/forms"/>
  </ds:schemaRefs>
</ds:datastoreItem>
</file>

<file path=customXml/itemProps3.xml><?xml version="1.0" encoding="utf-8"?>
<ds:datastoreItem xmlns:ds="http://schemas.openxmlformats.org/officeDocument/2006/customXml" ds:itemID="{5DCF9B54-02B2-4BCD-9475-A86DBAE77650}">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4 - Information and Referral Services</dc:title>
  <dc:subject/>
  <dc:creator>TWC-VR</dc:creator>
  <cp:keywords>Texas Workforce Commission Vocational Rehabilitation Services Manual (VRSM) policy</cp:keywords>
  <dc:description/>
  <cp:lastModifiedBy>Martin-Hudson,Bonnie</cp:lastModifiedBy>
  <cp:revision>10</cp:revision>
  <dcterms:created xsi:type="dcterms:W3CDTF">2024-07-24T18:52:00Z</dcterms:created>
  <dcterms:modified xsi:type="dcterms:W3CDTF">2024-08-14T16:57:00Z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