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B132E45" w:rsidR="002A345C" w:rsidRDefault="006C47DD" w:rsidP="00677EE0">
      <w:pPr>
        <w:pStyle w:val="Heading1"/>
      </w:pPr>
      <w:r w:rsidRPr="00677EE0">
        <w:t xml:space="preserve">PART C, CHAPTER 16.6: </w:t>
      </w:r>
      <w:r>
        <w:t>OCCUPATIONAL LICENSES</w:t>
      </w:r>
    </w:p>
    <w:tbl>
      <w:tblPr>
        <w:tblW w:w="9395" w:type="dxa"/>
        <w:tblLook w:val="04A0" w:firstRow="1" w:lastRow="0" w:firstColumn="1" w:lastColumn="0" w:noHBand="0" w:noVBand="1"/>
      </w:tblPr>
      <w:tblGrid>
        <w:gridCol w:w="1979"/>
        <w:gridCol w:w="4564"/>
        <w:gridCol w:w="1635"/>
        <w:gridCol w:w="1217"/>
      </w:tblGrid>
      <w:tr w:rsidR="00470468" w:rsidRPr="00470468" w14:paraId="72AD8A03" w14:textId="77777777" w:rsidTr="00627998">
        <w:trPr>
          <w:trHeight w:val="315"/>
        </w:trPr>
        <w:tc>
          <w:tcPr>
            <w:tcW w:w="1979"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16E95BB4" w14:textId="77777777" w:rsidR="00470468" w:rsidRPr="00470468" w:rsidRDefault="00470468" w:rsidP="00470468">
            <w:pPr>
              <w:spacing w:before="0" w:after="0" w:line="240" w:lineRule="auto"/>
              <w:rPr>
                <w:rFonts w:eastAsia="Times New Roman"/>
                <w:b/>
                <w:bCs/>
                <w:color w:val="000000"/>
                <w:kern w:val="0"/>
                <w14:ligatures w14:val="none"/>
              </w:rPr>
            </w:pPr>
            <w:r w:rsidRPr="00470468">
              <w:rPr>
                <w:rFonts w:eastAsia="Times New Roman"/>
                <w:b/>
                <w:bCs/>
                <w:color w:val="000000"/>
                <w:kern w:val="0"/>
                <w:lang w:val="en" w:eastAsia="ja-JP"/>
                <w14:ligatures w14:val="none"/>
              </w:rPr>
              <w:t>Policy Number</w:t>
            </w:r>
          </w:p>
        </w:tc>
        <w:tc>
          <w:tcPr>
            <w:tcW w:w="4564" w:type="dxa"/>
            <w:tcBorders>
              <w:top w:val="single" w:sz="4" w:space="0" w:color="auto"/>
              <w:left w:val="nil"/>
              <w:bottom w:val="single" w:sz="4" w:space="0" w:color="auto"/>
              <w:right w:val="single" w:sz="4" w:space="0" w:color="auto"/>
            </w:tcBorders>
            <w:shd w:val="clear" w:color="000000" w:fill="F0F4FA"/>
            <w:noWrap/>
            <w:vAlign w:val="bottom"/>
            <w:hideMark/>
          </w:tcPr>
          <w:p w14:paraId="116FC8D5" w14:textId="77777777" w:rsidR="00470468" w:rsidRPr="00470468" w:rsidRDefault="00470468" w:rsidP="00470468">
            <w:pPr>
              <w:spacing w:before="0" w:after="0" w:line="240" w:lineRule="auto"/>
              <w:rPr>
                <w:rFonts w:eastAsia="Times New Roman"/>
                <w:b/>
                <w:bCs/>
                <w:color w:val="000000"/>
                <w:kern w:val="0"/>
                <w14:ligatures w14:val="none"/>
              </w:rPr>
            </w:pPr>
            <w:r w:rsidRPr="00470468">
              <w:rPr>
                <w:rFonts w:eastAsia="Times New Roman"/>
                <w:b/>
                <w:bCs/>
                <w:color w:val="000000"/>
                <w:kern w:val="0"/>
                <w:lang w:val="en" w:eastAsia="ja-JP"/>
                <w14:ligatures w14:val="none"/>
              </w:rPr>
              <w:t>Authority</w:t>
            </w:r>
          </w:p>
        </w:tc>
        <w:tc>
          <w:tcPr>
            <w:tcW w:w="1635" w:type="dxa"/>
            <w:tcBorders>
              <w:top w:val="single" w:sz="4" w:space="0" w:color="auto"/>
              <w:left w:val="nil"/>
              <w:bottom w:val="single" w:sz="4" w:space="0" w:color="auto"/>
              <w:right w:val="single" w:sz="4" w:space="0" w:color="auto"/>
            </w:tcBorders>
            <w:shd w:val="clear" w:color="000000" w:fill="F0F4FA"/>
            <w:noWrap/>
            <w:vAlign w:val="bottom"/>
            <w:hideMark/>
          </w:tcPr>
          <w:p w14:paraId="08784EF3" w14:textId="77777777" w:rsidR="00470468" w:rsidRPr="00470468" w:rsidRDefault="00470468" w:rsidP="00470468">
            <w:pPr>
              <w:spacing w:before="0" w:after="0" w:line="240" w:lineRule="auto"/>
              <w:rPr>
                <w:rFonts w:eastAsia="Times New Roman"/>
                <w:b/>
                <w:bCs/>
                <w:color w:val="000000"/>
                <w:kern w:val="0"/>
                <w14:ligatures w14:val="none"/>
              </w:rPr>
            </w:pPr>
            <w:r w:rsidRPr="00470468">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A798344" w14:textId="77777777" w:rsidR="00470468" w:rsidRPr="00470468" w:rsidRDefault="00470468" w:rsidP="00470468">
            <w:pPr>
              <w:spacing w:before="0" w:after="0" w:line="240" w:lineRule="auto"/>
              <w:rPr>
                <w:rFonts w:eastAsia="Times New Roman"/>
                <w:b/>
                <w:bCs/>
                <w:color w:val="000000"/>
                <w:kern w:val="0"/>
                <w14:ligatures w14:val="none"/>
              </w:rPr>
            </w:pPr>
            <w:r w:rsidRPr="00470468">
              <w:rPr>
                <w:rFonts w:eastAsia="Times New Roman"/>
                <w:b/>
                <w:bCs/>
                <w:color w:val="000000"/>
                <w:kern w:val="0"/>
                <w:lang w:val="en" w:eastAsia="ja-JP"/>
                <w14:ligatures w14:val="none"/>
              </w:rPr>
              <w:t>Effective Date</w:t>
            </w:r>
          </w:p>
        </w:tc>
      </w:tr>
      <w:tr w:rsidR="00627998" w:rsidRPr="00470468" w14:paraId="54C88611" w14:textId="77777777" w:rsidTr="00627998">
        <w:trPr>
          <w:trHeight w:val="300"/>
        </w:trPr>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06948BC8" w14:textId="77777777" w:rsidR="00627998" w:rsidRPr="00470468" w:rsidRDefault="00627998" w:rsidP="00627998">
            <w:pPr>
              <w:spacing w:before="0" w:after="0" w:line="240" w:lineRule="auto"/>
              <w:rPr>
                <w:rFonts w:eastAsia="Times New Roman"/>
                <w:color w:val="000000"/>
                <w:kern w:val="0"/>
                <w14:ligatures w14:val="none"/>
              </w:rPr>
            </w:pPr>
            <w:r w:rsidRPr="00470468">
              <w:rPr>
                <w:rFonts w:eastAsia="Times New Roman"/>
                <w:color w:val="000000"/>
                <w:kern w:val="0"/>
                <w:lang w:val="en" w:eastAsia="ja-JP"/>
                <w14:ligatures w14:val="none"/>
              </w:rPr>
              <w:t>Part C, Chapter 16.6</w:t>
            </w:r>
          </w:p>
        </w:tc>
        <w:tc>
          <w:tcPr>
            <w:tcW w:w="4564" w:type="dxa"/>
            <w:tcBorders>
              <w:top w:val="nil"/>
              <w:left w:val="nil"/>
              <w:bottom w:val="single" w:sz="4" w:space="0" w:color="auto"/>
              <w:right w:val="single" w:sz="4" w:space="0" w:color="auto"/>
            </w:tcBorders>
            <w:shd w:val="clear" w:color="auto" w:fill="auto"/>
            <w:noWrap/>
            <w:vAlign w:val="center"/>
            <w:hideMark/>
          </w:tcPr>
          <w:p w14:paraId="0BC32059" w14:textId="4628C23F" w:rsidR="00627998" w:rsidRPr="00470468" w:rsidRDefault="00627998" w:rsidP="00627998">
            <w:pPr>
              <w:spacing w:before="0" w:after="0" w:line="240" w:lineRule="auto"/>
              <w:rPr>
                <w:rFonts w:eastAsia="Times New Roman"/>
                <w:color w:val="000000"/>
                <w:kern w:val="0"/>
                <w14:ligatures w14:val="none"/>
              </w:rPr>
            </w:pPr>
            <w:r w:rsidRPr="006C47DD">
              <w:t xml:space="preserve">34 CFR </w:t>
            </w:r>
            <w:hyperlink r:id="rId10" w:anchor="p-361.48(b)(16)" w:history="1">
              <w:r w:rsidRPr="006C47DD">
                <w:rPr>
                  <w:rStyle w:val="Hyperlink"/>
                </w:rPr>
                <w:t>§361.48(b)(16)</w:t>
              </w:r>
            </w:hyperlink>
            <w:r w:rsidRPr="006C47DD">
              <w:t xml:space="preserve">, </w:t>
            </w:r>
            <w:r>
              <w:t xml:space="preserve">and </w:t>
            </w:r>
            <w:r w:rsidRPr="006C47DD">
              <w:t xml:space="preserve">TWC Rule </w:t>
            </w:r>
            <w:hyperlink r:id="rId11" w:history="1">
              <w:r w:rsidRPr="006C47DD">
                <w:rPr>
                  <w:rStyle w:val="Hyperlink"/>
                </w:rPr>
                <w:t>§856.51</w:t>
              </w:r>
            </w:hyperlink>
          </w:p>
        </w:tc>
        <w:tc>
          <w:tcPr>
            <w:tcW w:w="1635" w:type="dxa"/>
            <w:tcBorders>
              <w:top w:val="nil"/>
              <w:left w:val="nil"/>
              <w:bottom w:val="single" w:sz="4" w:space="0" w:color="auto"/>
              <w:right w:val="single" w:sz="4" w:space="0" w:color="auto"/>
            </w:tcBorders>
            <w:shd w:val="clear" w:color="auto" w:fill="auto"/>
            <w:noWrap/>
            <w:vAlign w:val="bottom"/>
            <w:hideMark/>
          </w:tcPr>
          <w:p w14:paraId="57BC9BA5" w14:textId="77777777" w:rsidR="00627998" w:rsidRPr="00470468" w:rsidRDefault="00627998" w:rsidP="00627998">
            <w:pPr>
              <w:spacing w:before="0" w:after="0" w:line="240" w:lineRule="auto"/>
              <w:rPr>
                <w:rFonts w:eastAsia="Times New Roman"/>
                <w:color w:val="000000"/>
                <w:kern w:val="0"/>
                <w14:ligatures w14:val="none"/>
              </w:rPr>
            </w:pPr>
            <w:r w:rsidRPr="00470468">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79ABF44F" w14:textId="77777777" w:rsidR="00627998" w:rsidRPr="00470468" w:rsidRDefault="00627998" w:rsidP="00627998">
            <w:pPr>
              <w:spacing w:before="0" w:after="0" w:line="240" w:lineRule="auto"/>
              <w:jc w:val="right"/>
              <w:rPr>
                <w:rFonts w:eastAsia="Times New Roman"/>
                <w:color w:val="000000"/>
                <w:kern w:val="0"/>
                <w14:ligatures w14:val="none"/>
              </w:rPr>
            </w:pPr>
            <w:r w:rsidRPr="00470468">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B34068B" w14:textId="77777777" w:rsidR="006C47DD" w:rsidRPr="00DC5EBA" w:rsidRDefault="006C47DD" w:rsidP="006C47DD">
      <w:pPr>
        <w:spacing w:after="240"/>
        <w:rPr>
          <w:color w:val="C00000"/>
        </w:rPr>
      </w:pPr>
      <w:r w:rsidRPr="00D918F9">
        <w:t xml:space="preserve">Specifically, the purpose of this policy and these procedures is to ensure adherence to </w:t>
      </w:r>
      <w:r w:rsidRPr="00CE0A92">
        <w:t xml:space="preserve">providing </w:t>
      </w:r>
      <w:r w:rsidRPr="00D918F9">
        <w:t>TWC-VR p</w:t>
      </w:r>
      <w:r>
        <w:t>urchased</w:t>
      </w:r>
      <w:r w:rsidRPr="00D918F9">
        <w:t xml:space="preserve"> services and supports to assist a customer in obtaining or maintaining an Occupational License.</w:t>
      </w:r>
      <w:r w:rsidRPr="00DC5EBA">
        <w:rPr>
          <w:color w:val="C00000"/>
        </w:rPr>
        <w:t xml:space="preserve"> </w:t>
      </w:r>
    </w:p>
    <w:p w14:paraId="077D4BD0" w14:textId="0E0D9B4E" w:rsidR="00F04098" w:rsidRDefault="00A001F3" w:rsidP="0033181C">
      <w:pPr>
        <w:pStyle w:val="Heading2"/>
      </w:pPr>
      <w:r>
        <w:t>DEFINITIONS</w:t>
      </w:r>
    </w:p>
    <w:p w14:paraId="521C7608" w14:textId="77777777" w:rsidR="006C47DD" w:rsidRPr="00567BC4" w:rsidRDefault="006C47DD" w:rsidP="006C47DD">
      <w:r w:rsidRPr="00567BC4">
        <w:rPr>
          <w:u w:val="single"/>
        </w:rPr>
        <w:t>Occupational License</w:t>
      </w:r>
      <w:r>
        <w:t>: A</w:t>
      </w:r>
      <w:r w:rsidRPr="00567BC4">
        <w:t>ny license, permit, or fee for the examination of a license, or other written authorization required by the state, city, or other government unit that must be obtained to work or to run a small business</w:t>
      </w:r>
      <w:r>
        <w:t>.</w:t>
      </w:r>
    </w:p>
    <w:p w14:paraId="28E8F4B6" w14:textId="77777777" w:rsidR="006C47DD" w:rsidRPr="009635A2" w:rsidRDefault="006C47DD" w:rsidP="006C47DD">
      <w:pPr>
        <w:rPr>
          <w:highlight w:val="yellow"/>
        </w:rPr>
      </w:pPr>
      <w:r w:rsidRPr="004E3F4C">
        <w:rPr>
          <w:u w:val="single"/>
        </w:rPr>
        <w:t>Practitioner</w:t>
      </w:r>
      <w:r>
        <w:t>: A</w:t>
      </w:r>
      <w:r w:rsidRPr="002B392A">
        <w:t>n expert who uses that knowledge as part of a profession</w:t>
      </w:r>
      <w:r>
        <w:t>.</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B7D7E22" w14:textId="77777777" w:rsidR="006C47DD" w:rsidRPr="00B41219" w:rsidRDefault="006C47DD" w:rsidP="006C47DD">
      <w:r w:rsidRPr="00B41219">
        <w:t>Occupational licenses authorize individuals to engage in specific professions or occupations. These licenses are typically required to ensure that practitioners meet certain standards of competency, skill, and ethical conduct to protect public health, safety, and welfare. Occupational licensing requirements vary widely depending on the profession and jurisdiction, with some occupations requiring rigorous education, training, and examination processes, while others may have less stringent requirements.</w:t>
      </w:r>
    </w:p>
    <w:p w14:paraId="485CC3BB" w14:textId="77777777" w:rsidR="006C47DD" w:rsidRPr="00B41219" w:rsidRDefault="006C47DD" w:rsidP="006C47DD">
      <w:r w:rsidRPr="00B41219">
        <w:t>Occupational licenses often involve a combination of education, experience, and examination components to assess an individual's qualifications and competence in their chosen field. Once obtained, the license may need to be renewed periodically through continuing education or other requirements to ensure practitioners stay current with developments in their profession.</w:t>
      </w:r>
    </w:p>
    <w:p w14:paraId="29CDADA2" w14:textId="77777777" w:rsidR="006C47DD" w:rsidRPr="00B41219" w:rsidRDefault="006C47DD" w:rsidP="006C47DD">
      <w:r w:rsidRPr="00B41219">
        <w:lastRenderedPageBreak/>
        <w:t>Occupational licensing serves several purposes, including—</w:t>
      </w:r>
    </w:p>
    <w:p w14:paraId="528AEB61" w14:textId="77777777" w:rsidR="006C47DD" w:rsidRPr="00B41219" w:rsidRDefault="006C47DD" w:rsidP="006C47DD">
      <w:pPr>
        <w:pStyle w:val="ListBulleted"/>
      </w:pPr>
      <w:r w:rsidRPr="00B41219">
        <w:t xml:space="preserve">Protecting the public needing services by ensuring that practitioners meet minimum standards of competency and ethical </w:t>
      </w:r>
      <w:proofErr w:type="gramStart"/>
      <w:r w:rsidRPr="00B41219">
        <w:t>conduct;</w:t>
      </w:r>
      <w:proofErr w:type="gramEnd"/>
    </w:p>
    <w:p w14:paraId="3674C5AD" w14:textId="77777777" w:rsidR="006C47DD" w:rsidRPr="00B41219" w:rsidRDefault="006C47DD" w:rsidP="006C47DD">
      <w:pPr>
        <w:pStyle w:val="ListBulleted"/>
      </w:pPr>
      <w:r w:rsidRPr="00B41219">
        <w:t xml:space="preserve">Providing assurance to employers and the public that practitioners have the necessary skills and qualifications to perform their jobs </w:t>
      </w:r>
      <w:proofErr w:type="gramStart"/>
      <w:r w:rsidRPr="00B41219">
        <w:t>effectively;</w:t>
      </w:r>
      <w:proofErr w:type="gramEnd"/>
    </w:p>
    <w:p w14:paraId="38D044BB" w14:textId="77777777" w:rsidR="006C47DD" w:rsidRPr="00B41219" w:rsidRDefault="006C47DD" w:rsidP="006C47DD">
      <w:pPr>
        <w:pStyle w:val="ListBulleted"/>
      </w:pPr>
      <w:r w:rsidRPr="00B41219">
        <w:t xml:space="preserve">Regulating entry into certain professions to maintain quality and standards within the </w:t>
      </w:r>
      <w:proofErr w:type="gramStart"/>
      <w:r w:rsidRPr="00B41219">
        <w:t>industry;</w:t>
      </w:r>
      <w:proofErr w:type="gramEnd"/>
    </w:p>
    <w:p w14:paraId="28E98D55" w14:textId="77777777" w:rsidR="006C47DD" w:rsidRPr="00B41219" w:rsidRDefault="006C47DD" w:rsidP="006C47DD">
      <w:pPr>
        <w:pStyle w:val="ListBulleted"/>
      </w:pPr>
      <w:r w:rsidRPr="00B41219">
        <w:t>Facilitating accountability and disciplinary action in cases of professional misconduct or incompetence.</w:t>
      </w:r>
    </w:p>
    <w:p w14:paraId="35384021" w14:textId="4A00F340" w:rsidR="006C47DD" w:rsidRPr="006C47DD" w:rsidRDefault="006C47DD" w:rsidP="006C47DD">
      <w:pPr>
        <w:pStyle w:val="Heading3"/>
      </w:pPr>
      <w:r w:rsidRPr="00B41219">
        <w:t>Prohibited Factors</w:t>
      </w:r>
    </w:p>
    <w:p w14:paraId="22DFAFBA" w14:textId="52FFAA61" w:rsidR="006C47DD" w:rsidRPr="00B41219" w:rsidRDefault="006C47DD" w:rsidP="006C47DD">
      <w:pPr>
        <w:autoSpaceDE w:val="0"/>
        <w:autoSpaceDN w:val="0"/>
        <w:adjustRightInd w:val="0"/>
      </w:pPr>
      <w:r w:rsidRPr="00B41219">
        <w:t xml:space="preserve">TWC-VR has limitations on funding when it comes to Occupational Licenses. </w:t>
      </w:r>
    </w:p>
    <w:p w14:paraId="7A652EBC" w14:textId="77777777" w:rsidR="006C47DD" w:rsidRPr="00B41219" w:rsidRDefault="006C47DD" w:rsidP="006C47DD">
      <w:r w:rsidRPr="00B41219">
        <w:t xml:space="preserve">TWC-VR will </w:t>
      </w:r>
      <w:r w:rsidRPr="006C47DD">
        <w:rPr>
          <w:u w:val="single"/>
        </w:rPr>
        <w:t>not</w:t>
      </w:r>
      <w:r w:rsidRPr="00B41219">
        <w:t xml:space="preserve"> fund the following:</w:t>
      </w:r>
    </w:p>
    <w:p w14:paraId="16BEDD08" w14:textId="77777777" w:rsidR="006C47DD" w:rsidRPr="00B41219" w:rsidRDefault="006C47DD" w:rsidP="006C47DD">
      <w:pPr>
        <w:pStyle w:val="ListBulleted"/>
      </w:pPr>
      <w:r w:rsidRPr="00B41219">
        <w:t xml:space="preserve">State or municipal tax assessments on </w:t>
      </w:r>
      <w:proofErr w:type="gramStart"/>
      <w:r w:rsidRPr="00B41219">
        <w:t>occupations;</w:t>
      </w:r>
      <w:proofErr w:type="gramEnd"/>
    </w:p>
    <w:p w14:paraId="333243C3" w14:textId="5F425F82" w:rsidR="006C47DD" w:rsidRPr="00B41219" w:rsidRDefault="006C47DD" w:rsidP="006C47DD">
      <w:pPr>
        <w:pStyle w:val="ListBulleted"/>
      </w:pPr>
      <w:r w:rsidRPr="00B41219">
        <w:t xml:space="preserve">Dues to a professional association or trade union unless paying the dues meets best-value purchasing criteria </w:t>
      </w:r>
      <w:r w:rsidR="007F628C">
        <w:t xml:space="preserve">and </w:t>
      </w:r>
      <w:r w:rsidRPr="00B41219">
        <w:t xml:space="preserve">the VR </w:t>
      </w:r>
      <w:r>
        <w:t>C</w:t>
      </w:r>
      <w:r w:rsidRPr="00B41219">
        <w:t>ounselor can justify the purchase as critical to the success of the customer's employment; and</w:t>
      </w:r>
    </w:p>
    <w:p w14:paraId="2A5E7119" w14:textId="77777777" w:rsidR="006C47DD" w:rsidRPr="00B41219" w:rsidRDefault="006C47DD" w:rsidP="006C47DD">
      <w:pPr>
        <w:pStyle w:val="ListBulleted"/>
      </w:pPr>
      <w:r w:rsidRPr="00B41219">
        <w:t>Organizations that financially support a lobbyist.</w:t>
      </w:r>
    </w:p>
    <w:p w14:paraId="04259D15" w14:textId="77777777" w:rsidR="006C47DD" w:rsidRPr="00B41219" w:rsidRDefault="006C47DD" w:rsidP="006C47DD">
      <w:r w:rsidRPr="00B41219">
        <w:t>TWC-VR will purchase fees for the following when in alignment with employment goal listed on the customer’s IPE:</w:t>
      </w:r>
    </w:p>
    <w:p w14:paraId="3207EFAB" w14:textId="77777777" w:rsidR="006C47DD" w:rsidRPr="00B41219" w:rsidRDefault="006C47DD" w:rsidP="006C47DD">
      <w:pPr>
        <w:pStyle w:val="ListBulleted"/>
      </w:pPr>
      <w:r w:rsidRPr="00B41219">
        <w:t>Licenses; and</w:t>
      </w:r>
    </w:p>
    <w:p w14:paraId="75824012" w14:textId="77777777" w:rsidR="006C47DD" w:rsidRPr="00B41219" w:rsidRDefault="006C47DD" w:rsidP="006C47DD">
      <w:pPr>
        <w:pStyle w:val="ListBulleted"/>
      </w:pPr>
      <w:r w:rsidRPr="00B41219">
        <w:t xml:space="preserve">Required </w:t>
      </w:r>
      <w:proofErr w:type="gramStart"/>
      <w:r w:rsidRPr="00B41219">
        <w:t>examinations;</w:t>
      </w:r>
      <w:proofErr w:type="gramEnd"/>
    </w:p>
    <w:p w14:paraId="20E0E149" w14:textId="77777777" w:rsidR="006C47DD" w:rsidRPr="00B41219" w:rsidRDefault="006C47DD" w:rsidP="006C47DD">
      <w:pPr>
        <w:pStyle w:val="ListBulleted"/>
      </w:pPr>
      <w:r w:rsidRPr="00B41219">
        <w:t>Required registrations.</w:t>
      </w:r>
    </w:p>
    <w:p w14:paraId="6E2F72FA" w14:textId="5A1C326D" w:rsidR="006C47DD" w:rsidRPr="00B41219" w:rsidRDefault="006C47DD" w:rsidP="006C47DD">
      <w:pPr>
        <w:pStyle w:val="Heading3"/>
      </w:pPr>
      <w:bookmarkStart w:id="0" w:name="_Hlk169821941"/>
      <w:bookmarkStart w:id="1" w:name="_Hlk170179930"/>
      <w:r w:rsidRPr="00B41219">
        <w:t>Additional Policy Considerations</w:t>
      </w:r>
    </w:p>
    <w:p w14:paraId="2D5AC946" w14:textId="77777777" w:rsidR="006C47DD" w:rsidRPr="00B41219" w:rsidRDefault="006C47DD" w:rsidP="006C47DD">
      <w:pPr>
        <w:pStyle w:val="ListBulleted"/>
      </w:pPr>
      <w:r w:rsidRPr="00B41219">
        <w:rPr>
          <w:u w:val="single"/>
        </w:rPr>
        <w:t>Comparable Services and Benefits</w:t>
      </w:r>
      <w:r w:rsidRPr="00B41219">
        <w:t xml:space="preserve">: </w:t>
      </w:r>
      <w:bookmarkStart w:id="2" w:name="_Hlk170398290"/>
      <w:r w:rsidRPr="00B41219">
        <w:t xml:space="preserve">TWC-VR must not expend funds on </w:t>
      </w:r>
      <w:bookmarkStart w:id="3" w:name="_Hlk170399608"/>
      <w:bookmarkStart w:id="4" w:name="_Hlk169819439"/>
      <w:r>
        <w:t>occupational licensing and related costs</w:t>
      </w:r>
      <w:r w:rsidRPr="00B41219">
        <w:t xml:space="preserve"> unless the VR </w:t>
      </w:r>
      <w:r>
        <w:t>C</w:t>
      </w:r>
      <w:r w:rsidRPr="00B41219">
        <w:t>ounselor and the customer have made maximum efforts to secure comparable services and benefits from other sources to pay for services.</w:t>
      </w:r>
      <w:bookmarkEnd w:id="2"/>
      <w:bookmarkEnd w:id="3"/>
      <w:bookmarkEnd w:id="4"/>
    </w:p>
    <w:p w14:paraId="0EE83E00" w14:textId="77777777" w:rsidR="006C47DD" w:rsidRPr="00B41219" w:rsidRDefault="006C47DD" w:rsidP="006C47DD">
      <w:pPr>
        <w:pStyle w:val="ListBulleted"/>
      </w:pPr>
      <w:bookmarkStart w:id="5" w:name="_Hlk170399640"/>
      <w:r w:rsidRPr="00B41219">
        <w:rPr>
          <w:u w:val="single"/>
        </w:rPr>
        <w:t>Customer Participation in the Cost of Services</w:t>
      </w:r>
      <w:r w:rsidRPr="00B41219">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E9F48FB" w14:textId="77777777" w:rsidR="006C47DD" w:rsidRPr="00B41219" w:rsidRDefault="006C47DD" w:rsidP="006C47DD">
      <w:pPr>
        <w:pStyle w:val="ListBulleted"/>
      </w:pPr>
      <w:bookmarkStart w:id="6" w:name="_Hlk169817564"/>
      <w:bookmarkEnd w:id="0"/>
      <w:r w:rsidRPr="00B41219">
        <w:rPr>
          <w:u w:val="single"/>
        </w:rPr>
        <w:lastRenderedPageBreak/>
        <w:t>Recipients of Social Security Disability Benefits</w:t>
      </w:r>
      <w:r w:rsidRPr="00B41219">
        <w:t>: Recipients of Supplemental Security Income (SSI) or Social Security Disability Insurance (SSDI), due to the customer’s disability, are exempt from the requirement to participate in the cost of TWC-VR services regardless of income.</w:t>
      </w:r>
    </w:p>
    <w:p w14:paraId="3FBFD439" w14:textId="77777777" w:rsidR="006C47DD" w:rsidRPr="00B41219" w:rsidRDefault="006C47DD" w:rsidP="006C47DD">
      <w:pPr>
        <w:pStyle w:val="ListBulleted"/>
      </w:pPr>
      <w:bookmarkStart w:id="7" w:name="_Hlk162890515"/>
      <w:r w:rsidRPr="00B41219">
        <w:rPr>
          <w:u w:val="single"/>
        </w:rPr>
        <w:t>Exceptions to Policy</w:t>
      </w:r>
      <w:r w:rsidRPr="00B41219">
        <w:t xml:space="preserve">: </w:t>
      </w:r>
      <w:bookmarkStart w:id="8" w:name="_Hlk170177184"/>
      <w:r w:rsidRPr="00B41219">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
      <w:bookmarkEnd w:id="5"/>
      <w:bookmarkEnd w:id="6"/>
      <w:bookmarkEnd w:id="7"/>
      <w:bookmarkEnd w:id="8"/>
    </w:p>
    <w:p w14:paraId="11E48025" w14:textId="511E42FF" w:rsidR="00934027" w:rsidRDefault="00145D80" w:rsidP="00CF06B7">
      <w:pPr>
        <w:pStyle w:val="Heading2"/>
      </w:pPr>
      <w:r>
        <w:t>PROCEDURES</w:t>
      </w:r>
    </w:p>
    <w:p w14:paraId="3BF5E84A" w14:textId="4945AEC1" w:rsidR="000538A8" w:rsidRDefault="006C47DD" w:rsidP="00896AC1">
      <w:pPr>
        <w:pStyle w:val="Heading3"/>
        <w:numPr>
          <w:ilvl w:val="0"/>
          <w:numId w:val="37"/>
        </w:numPr>
      </w:pPr>
      <w:r w:rsidRPr="00B41219">
        <w:t>Purchasing Occupational Licenses</w:t>
      </w:r>
    </w:p>
    <w:p w14:paraId="41E9CB68" w14:textId="00968E8B" w:rsidR="006C47DD" w:rsidRPr="00B41219" w:rsidRDefault="006C47DD" w:rsidP="006C47DD">
      <w:r w:rsidRPr="00B41219">
        <w:t xml:space="preserve">TWC-VR staff must attempt to establish the licensing entity as a provider to pay directly for applicable services. </w:t>
      </w:r>
    </w:p>
    <w:p w14:paraId="412D2122" w14:textId="77777777" w:rsidR="006C47DD" w:rsidRPr="00B41219" w:rsidRDefault="006C47DD" w:rsidP="006C47DD">
      <w:r w:rsidRPr="00B41219">
        <w:t xml:space="preserve">If the licensing agency/entity declines to be established as a provider for any reason, or if they have a hold through the comptroller and cannot be paid, alternative options must be explored. If no other acceptable options are available, the justification for paying maintenance to the customer is required to be documented in case notes. </w:t>
      </w:r>
    </w:p>
    <w:p w14:paraId="7E5C67CB" w14:textId="77777777" w:rsidR="006C47DD" w:rsidRDefault="006C47DD" w:rsidP="006C47DD">
      <w:pPr>
        <w:pStyle w:val="Heading3"/>
      </w:pPr>
      <w:r w:rsidRPr="00B41219">
        <w:t>Service Justification</w:t>
      </w:r>
    </w:p>
    <w:p w14:paraId="7B5CFE2C" w14:textId="6BED016B" w:rsidR="006C47DD" w:rsidRPr="00B41219" w:rsidRDefault="006C47DD" w:rsidP="006C47DD">
      <w:r w:rsidRPr="00B41219">
        <w:t xml:space="preserve">The VR </w:t>
      </w:r>
      <w:r>
        <w:t>C</w:t>
      </w:r>
      <w:r w:rsidRPr="00B41219">
        <w:t xml:space="preserve">ounselor documents the justification for providing any occupational licensing support, in addition to including the justification in the </w:t>
      </w:r>
      <w:r>
        <w:t>Individualized Plan for Employment (</w:t>
      </w:r>
      <w:r w:rsidRPr="00B41219">
        <w:t>IPE</w:t>
      </w:r>
      <w:r>
        <w:t>)</w:t>
      </w:r>
      <w:r w:rsidRPr="00B41219">
        <w:t xml:space="preserve">. </w:t>
      </w:r>
    </w:p>
    <w:p w14:paraId="398FE29C" w14:textId="093F2D37" w:rsidR="006C47DD" w:rsidRPr="00B41219" w:rsidRDefault="006C47DD" w:rsidP="006C47DD">
      <w:r w:rsidRPr="00B41219">
        <w:t xml:space="preserve">If the VR </w:t>
      </w:r>
      <w:r>
        <w:t>C</w:t>
      </w:r>
      <w:r w:rsidRPr="00B41219">
        <w:t>ounselor believes that payment to a professional association or trade union is critical to the success of the customer's employment, the</w:t>
      </w:r>
      <w:r>
        <w:t>y</w:t>
      </w:r>
      <w:r w:rsidRPr="00B41219">
        <w:t xml:space="preserve"> must enter a case note that explains the justification</w:t>
      </w:r>
      <w:r w:rsidR="00D303AB">
        <w:t xml:space="preserve"> and document they have checked that the association or trade union does not financially support a lobbyist</w:t>
      </w:r>
      <w:r w:rsidRPr="00B41219">
        <w:t xml:space="preserve">. </w:t>
      </w:r>
    </w:p>
    <w:p w14:paraId="424771A3" w14:textId="5817096D" w:rsidR="00145D80" w:rsidRDefault="009033A9" w:rsidP="00DF5CB7">
      <w:pPr>
        <w:pStyle w:val="Heading2"/>
      </w:pPr>
      <w:r>
        <w:t>APPROVALS &amp; CONSULTATIONS</w:t>
      </w:r>
    </w:p>
    <w:p w14:paraId="595DB0F5" w14:textId="53DADBEE" w:rsidR="006C47DD" w:rsidRPr="00B41219" w:rsidRDefault="00054CC6" w:rsidP="00054CC6">
      <w:pPr>
        <w:rPr>
          <w:i/>
          <w:iCs/>
        </w:rPr>
      </w:pPr>
      <w:r w:rsidRPr="00E57035">
        <w:t>There are no approvals or consultations for this policy and these procedures.</w:t>
      </w:r>
      <w:r w:rsidR="006C47DD" w:rsidRPr="00B41219">
        <w:rPr>
          <w:i/>
          <w:iCs/>
        </w:rPr>
        <w:t xml:space="preserve"> </w:t>
      </w:r>
    </w:p>
    <w:p w14:paraId="27FABD6E" w14:textId="77777777" w:rsidR="00FD2D80" w:rsidRPr="00B450E3" w:rsidRDefault="00FD2D80" w:rsidP="00FD2D80">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5941DBE2" w14:textId="77777777" w:rsidR="00FD2D80" w:rsidRPr="009D5287" w:rsidRDefault="00FD2D80" w:rsidP="00FD2D8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FD2D80" w:rsidRPr="009D5287" w14:paraId="7411C51B" w14:textId="77777777" w:rsidTr="00233167">
        <w:tc>
          <w:tcPr>
            <w:tcW w:w="1770" w:type="dxa"/>
            <w:shd w:val="clear" w:color="auto" w:fill="F0F4FA" w:themeFill="accent4"/>
            <w:vAlign w:val="center"/>
          </w:tcPr>
          <w:p w14:paraId="4E9D4C69" w14:textId="77777777" w:rsidR="00FD2D80" w:rsidRPr="009D5287" w:rsidRDefault="00FD2D80"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038933C9" w14:textId="77777777" w:rsidR="00FD2D80" w:rsidRPr="009D5287" w:rsidRDefault="00FD2D80" w:rsidP="00233167">
            <w:pPr>
              <w:rPr>
                <w:b/>
                <w:lang w:val="en" w:eastAsia="ja-JP"/>
              </w:rPr>
            </w:pPr>
            <w:r w:rsidRPr="009D5287">
              <w:rPr>
                <w:b/>
                <w:lang w:val="en" w:eastAsia="ja-JP"/>
              </w:rPr>
              <w:t>Type</w:t>
            </w:r>
          </w:p>
        </w:tc>
        <w:tc>
          <w:tcPr>
            <w:tcW w:w="6608" w:type="dxa"/>
            <w:shd w:val="clear" w:color="auto" w:fill="F0F4FA" w:themeFill="accent4"/>
            <w:vAlign w:val="center"/>
          </w:tcPr>
          <w:p w14:paraId="41945F1D" w14:textId="77777777" w:rsidR="00FD2D80" w:rsidRPr="009D5287" w:rsidRDefault="00FD2D80" w:rsidP="00233167">
            <w:pPr>
              <w:rPr>
                <w:b/>
                <w:lang w:val="en" w:eastAsia="ja-JP"/>
              </w:rPr>
            </w:pPr>
            <w:r w:rsidRPr="009D5287">
              <w:rPr>
                <w:b/>
                <w:lang w:val="en" w:eastAsia="ja-JP"/>
              </w:rPr>
              <w:t>Change Description</w:t>
            </w:r>
          </w:p>
        </w:tc>
      </w:tr>
      <w:tr w:rsidR="00FD2D80" w:rsidRPr="009D5287" w14:paraId="4EB3AD90" w14:textId="77777777" w:rsidTr="00233167">
        <w:tc>
          <w:tcPr>
            <w:tcW w:w="1770" w:type="dxa"/>
          </w:tcPr>
          <w:p w14:paraId="68C39A63" w14:textId="77777777" w:rsidR="00FD2D80" w:rsidRPr="009D5287" w:rsidRDefault="00FD2D80"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lastRenderedPageBreak/>
              <w:t>9/3/2024</w:t>
            </w:r>
          </w:p>
        </w:tc>
        <w:tc>
          <w:tcPr>
            <w:tcW w:w="972" w:type="dxa"/>
          </w:tcPr>
          <w:p w14:paraId="3306B24A" w14:textId="77777777" w:rsidR="00FD2D80" w:rsidRPr="009D5287" w:rsidRDefault="00FD2D80" w:rsidP="00233167">
            <w:r w:rsidRPr="009D5287">
              <w:t>New</w:t>
            </w:r>
          </w:p>
        </w:tc>
        <w:tc>
          <w:tcPr>
            <w:tcW w:w="6608" w:type="dxa"/>
          </w:tcPr>
          <w:p w14:paraId="22F2910F" w14:textId="77777777" w:rsidR="00FD2D80" w:rsidRPr="009D5287" w:rsidRDefault="00FD2D80" w:rsidP="00233167">
            <w:pPr>
              <w:rPr>
                <w:lang w:val="en" w:eastAsia="ja-JP"/>
              </w:rPr>
            </w:pPr>
            <w:r w:rsidRPr="009D5287">
              <w:t>VRSM Policy and Procedure Rewrite</w:t>
            </w:r>
          </w:p>
        </w:tc>
      </w:tr>
    </w:tbl>
    <w:p w14:paraId="5EB73B5E" w14:textId="5CDF9A99" w:rsidR="001901F0" w:rsidRPr="00E57035" w:rsidRDefault="001901F0" w:rsidP="00FD2D80">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6B2F" w14:textId="77777777" w:rsidR="00B022D8" w:rsidRDefault="00B022D8" w:rsidP="00895186">
      <w:r>
        <w:separator/>
      </w:r>
    </w:p>
  </w:endnote>
  <w:endnote w:type="continuationSeparator" w:id="0">
    <w:p w14:paraId="2E088F18" w14:textId="77777777" w:rsidR="00B022D8" w:rsidRDefault="00B022D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581ADE4" w:rsidR="00B24E6C" w:rsidRDefault="006C47DD" w:rsidP="00895186">
    <w:pPr>
      <w:pStyle w:val="Footer"/>
    </w:pPr>
    <w:r>
      <w:rPr>
        <w:noProof/>
      </w:rPr>
      <mc:AlternateContent>
        <mc:Choice Requires="wps">
          <w:drawing>
            <wp:anchor distT="0" distB="0" distL="114300" distR="114300" simplePos="0" relativeHeight="251661312" behindDoc="0" locked="0" layoutInCell="1" allowOverlap="1" wp14:anchorId="00B0B3F3" wp14:editId="2FBF4556">
              <wp:simplePos x="0" y="0"/>
              <wp:positionH relativeFrom="column">
                <wp:posOffset>-377190</wp:posOffset>
              </wp:positionH>
              <wp:positionV relativeFrom="paragraph">
                <wp:posOffset>6350</wp:posOffset>
              </wp:positionV>
              <wp:extent cx="43522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52290" cy="488950"/>
                      </a:xfrm>
                      <a:prstGeom prst="rect">
                        <a:avLst/>
                      </a:prstGeom>
                      <a:noFill/>
                      <a:ln w="6350">
                        <a:noFill/>
                      </a:ln>
                    </wps:spPr>
                    <wps:txbx>
                      <w:txbxContent>
                        <w:p w14:paraId="25686EF3" w14:textId="4706FB5A" w:rsidR="00501E08" w:rsidRPr="00501E08" w:rsidRDefault="006C47DD" w:rsidP="00895186">
                          <w:r>
                            <w:t>Part C, Chapter 16.6: Occupational Licenses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2.7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" filled="f" stroked="f" strokeweight=".5pt">
              <v:textbox>
                <w:txbxContent>
                  <w:p w14:paraId="25686EF3" w14:textId="4706FB5A" w:rsidR="00501E08" w:rsidRPr="00501E08" w:rsidRDefault="006C47DD" w:rsidP="00895186">
                    <w:r>
                      <w:t>Part C, Chapter 16.6: Occupational Licenses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975A45B">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44A4" w14:textId="77777777" w:rsidR="00B022D8" w:rsidRDefault="00B022D8" w:rsidP="00895186">
      <w:r>
        <w:separator/>
      </w:r>
    </w:p>
  </w:footnote>
  <w:footnote w:type="continuationSeparator" w:id="0">
    <w:p w14:paraId="6CC5562D" w14:textId="77777777" w:rsidR="00B022D8" w:rsidRDefault="00B022D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B26368D"/>
    <w:multiLevelType w:val="hybridMultilevel"/>
    <w:tmpl w:val="28DE3DF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5010230"/>
    <w:multiLevelType w:val="hybridMultilevel"/>
    <w:tmpl w:val="A1FA7C0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2E5477B"/>
    <w:multiLevelType w:val="hybridMultilevel"/>
    <w:tmpl w:val="0EB0E0C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9E5103"/>
    <w:multiLevelType w:val="hybridMultilevel"/>
    <w:tmpl w:val="6B169D9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31"/>
  </w:num>
  <w:num w:numId="5" w16cid:durableId="1893686843">
    <w:abstractNumId w:val="21"/>
  </w:num>
  <w:num w:numId="6" w16cid:durableId="760954600">
    <w:abstractNumId w:val="24"/>
  </w:num>
  <w:num w:numId="7" w16cid:durableId="1429428784">
    <w:abstractNumId w:val="13"/>
  </w:num>
  <w:num w:numId="8" w16cid:durableId="436485834">
    <w:abstractNumId w:val="8"/>
  </w:num>
  <w:num w:numId="9" w16cid:durableId="127362230">
    <w:abstractNumId w:val="4"/>
  </w:num>
  <w:num w:numId="10" w16cid:durableId="1604805518">
    <w:abstractNumId w:val="6"/>
  </w:num>
  <w:num w:numId="11" w16cid:durableId="1256401764">
    <w:abstractNumId w:val="26"/>
  </w:num>
  <w:num w:numId="12" w16cid:durableId="1548175440">
    <w:abstractNumId w:val="33"/>
  </w:num>
  <w:num w:numId="13" w16cid:durableId="975644156">
    <w:abstractNumId w:val="7"/>
  </w:num>
  <w:num w:numId="14" w16cid:durableId="2099713293">
    <w:abstractNumId w:val="18"/>
  </w:num>
  <w:num w:numId="15" w16cid:durableId="1594316770">
    <w:abstractNumId w:val="22"/>
  </w:num>
  <w:num w:numId="16" w16cid:durableId="700741873">
    <w:abstractNumId w:val="28"/>
  </w:num>
  <w:num w:numId="17" w16cid:durableId="1651835230">
    <w:abstractNumId w:val="17"/>
  </w:num>
  <w:num w:numId="18" w16cid:durableId="883299119">
    <w:abstractNumId w:val="30"/>
  </w:num>
  <w:num w:numId="19" w16cid:durableId="84305632">
    <w:abstractNumId w:val="12"/>
  </w:num>
  <w:num w:numId="20" w16cid:durableId="1057705478">
    <w:abstractNumId w:val="35"/>
  </w:num>
  <w:num w:numId="21" w16cid:durableId="96758055">
    <w:abstractNumId w:val="23"/>
  </w:num>
  <w:num w:numId="22" w16cid:durableId="722797963">
    <w:abstractNumId w:val="9"/>
  </w:num>
  <w:num w:numId="23" w16cid:durableId="1638485069">
    <w:abstractNumId w:val="15"/>
  </w:num>
  <w:num w:numId="24" w16cid:durableId="1439984590">
    <w:abstractNumId w:val="35"/>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6"/>
  </w:num>
  <w:num w:numId="32" w16cid:durableId="191573243">
    <w:abstractNumId w:val="27"/>
  </w:num>
  <w:num w:numId="33" w16cid:durableId="718751240">
    <w:abstractNumId w:val="3"/>
  </w:num>
  <w:num w:numId="34" w16cid:durableId="1367289556">
    <w:abstractNumId w:val="19"/>
  </w:num>
  <w:num w:numId="35" w16cid:durableId="1934777624">
    <w:abstractNumId w:val="11"/>
  </w:num>
  <w:num w:numId="36" w16cid:durableId="1647272484">
    <w:abstractNumId w:val="34"/>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6912780">
    <w:abstractNumId w:val="29"/>
  </w:num>
  <w:num w:numId="40" w16cid:durableId="2145152601">
    <w:abstractNumId w:val="5"/>
  </w:num>
  <w:num w:numId="41" w16cid:durableId="700086327">
    <w:abstractNumId w:val="32"/>
  </w:num>
  <w:num w:numId="42" w16cid:durableId="3537755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4CC6"/>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2ED3"/>
    <w:rsid w:val="0028600F"/>
    <w:rsid w:val="00291D54"/>
    <w:rsid w:val="002A345C"/>
    <w:rsid w:val="002B3B60"/>
    <w:rsid w:val="002C0046"/>
    <w:rsid w:val="002C32D0"/>
    <w:rsid w:val="002E0AF2"/>
    <w:rsid w:val="002F3A16"/>
    <w:rsid w:val="002F7604"/>
    <w:rsid w:val="00303143"/>
    <w:rsid w:val="003155F3"/>
    <w:rsid w:val="00317850"/>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61D42"/>
    <w:rsid w:val="00470468"/>
    <w:rsid w:val="00472E58"/>
    <w:rsid w:val="00473095"/>
    <w:rsid w:val="0049537E"/>
    <w:rsid w:val="004A50D7"/>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225AE"/>
    <w:rsid w:val="00627998"/>
    <w:rsid w:val="00663892"/>
    <w:rsid w:val="00677EE0"/>
    <w:rsid w:val="006822AE"/>
    <w:rsid w:val="00684E9F"/>
    <w:rsid w:val="006C1594"/>
    <w:rsid w:val="006C47DD"/>
    <w:rsid w:val="006D108A"/>
    <w:rsid w:val="006D7231"/>
    <w:rsid w:val="006F49B6"/>
    <w:rsid w:val="006F605F"/>
    <w:rsid w:val="0070042E"/>
    <w:rsid w:val="00700604"/>
    <w:rsid w:val="00701EDA"/>
    <w:rsid w:val="007253AC"/>
    <w:rsid w:val="00732372"/>
    <w:rsid w:val="00737F40"/>
    <w:rsid w:val="007400FF"/>
    <w:rsid w:val="0075656E"/>
    <w:rsid w:val="00781378"/>
    <w:rsid w:val="00785189"/>
    <w:rsid w:val="007C2A47"/>
    <w:rsid w:val="007D6F90"/>
    <w:rsid w:val="007F11FA"/>
    <w:rsid w:val="007F608C"/>
    <w:rsid w:val="007F628C"/>
    <w:rsid w:val="008021D5"/>
    <w:rsid w:val="008101E7"/>
    <w:rsid w:val="00817FD0"/>
    <w:rsid w:val="00823238"/>
    <w:rsid w:val="00831F7C"/>
    <w:rsid w:val="00837800"/>
    <w:rsid w:val="008445D4"/>
    <w:rsid w:val="008470EE"/>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022D8"/>
    <w:rsid w:val="00B23B90"/>
    <w:rsid w:val="00B24E6C"/>
    <w:rsid w:val="00B4029A"/>
    <w:rsid w:val="00B51052"/>
    <w:rsid w:val="00B53ADD"/>
    <w:rsid w:val="00B63DC8"/>
    <w:rsid w:val="00B65744"/>
    <w:rsid w:val="00B83A23"/>
    <w:rsid w:val="00BA2C02"/>
    <w:rsid w:val="00BB1B54"/>
    <w:rsid w:val="00C179E1"/>
    <w:rsid w:val="00C352AB"/>
    <w:rsid w:val="00C52486"/>
    <w:rsid w:val="00C57B6D"/>
    <w:rsid w:val="00C71AE5"/>
    <w:rsid w:val="00C759E8"/>
    <w:rsid w:val="00C828B1"/>
    <w:rsid w:val="00C837B6"/>
    <w:rsid w:val="00CA6FBB"/>
    <w:rsid w:val="00CB2389"/>
    <w:rsid w:val="00CB3FD2"/>
    <w:rsid w:val="00CB5436"/>
    <w:rsid w:val="00CD68B6"/>
    <w:rsid w:val="00CF06B7"/>
    <w:rsid w:val="00CF51B9"/>
    <w:rsid w:val="00D064C9"/>
    <w:rsid w:val="00D12C14"/>
    <w:rsid w:val="00D164C7"/>
    <w:rsid w:val="00D22E37"/>
    <w:rsid w:val="00D2701D"/>
    <w:rsid w:val="00D303AB"/>
    <w:rsid w:val="00D3285D"/>
    <w:rsid w:val="00D451D6"/>
    <w:rsid w:val="00D5593A"/>
    <w:rsid w:val="00D642BC"/>
    <w:rsid w:val="00D6606B"/>
    <w:rsid w:val="00D77322"/>
    <w:rsid w:val="00DA5511"/>
    <w:rsid w:val="00DB5FC8"/>
    <w:rsid w:val="00DC3298"/>
    <w:rsid w:val="00DC3C01"/>
    <w:rsid w:val="00DE1623"/>
    <w:rsid w:val="00DE30FB"/>
    <w:rsid w:val="00DF5CB7"/>
    <w:rsid w:val="00DF6F73"/>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2D80"/>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6C47DD"/>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5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06E09-1302-4BC2-B280-E26C396DC826}">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031E7CBF-E34D-4BB7-8B7B-AE3B8CC30034}">
  <ds:schemaRefs>
    <ds:schemaRef ds:uri="http://schemas.microsoft.com/sharepoint/v3/contenttype/forms"/>
  </ds:schemaRefs>
</ds:datastoreItem>
</file>

<file path=customXml/itemProps3.xml><?xml version="1.0" encoding="utf-8"?>
<ds:datastoreItem xmlns:ds="http://schemas.openxmlformats.org/officeDocument/2006/customXml" ds:itemID="{94E7DD4E-685A-4E2B-B139-3476E64EF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16.6 - Occupational Licenses</dc:title>
  <dc:subject/>
  <dc:creator>TWC-VR</dc:creator>
  <cp:keywords>Texas Workforce Commission Vocational Rehabilitation Services Manual (VRSM) policy</cp:keywords>
  <dc:description/>
  <cp:lastModifiedBy>Martin-Hudson,Bonnie</cp:lastModifiedBy>
  <cp:revision>15</cp:revision>
  <dcterms:created xsi:type="dcterms:W3CDTF">2024-07-24T18:52:00Z</dcterms:created>
  <dcterms:modified xsi:type="dcterms:W3CDTF">2024-08-14T19:33:00Z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