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27E614EA" w:rsidR="002A345C" w:rsidRDefault="000107B2" w:rsidP="0083235D">
      <w:pPr>
        <w:pStyle w:val="Heading1"/>
      </w:pPr>
      <w:r w:rsidRPr="0083235D">
        <w:t>PART C, CHAPTER 16.3</w:t>
      </w:r>
      <w:r w:rsidR="0083235D">
        <w:t>:</w:t>
      </w:r>
      <w:r w:rsidR="0083235D">
        <w:br/>
      </w:r>
      <w:r>
        <w:t>SHORT-TERM HOUSING SERVICES</w:t>
      </w:r>
    </w:p>
    <w:tbl>
      <w:tblPr>
        <w:tblW w:w="9534" w:type="dxa"/>
        <w:tblLook w:val="04A0" w:firstRow="1" w:lastRow="0" w:firstColumn="1" w:lastColumn="0" w:noHBand="0" w:noVBand="1"/>
      </w:tblPr>
      <w:tblGrid>
        <w:gridCol w:w="1742"/>
        <w:gridCol w:w="5134"/>
        <w:gridCol w:w="1441"/>
        <w:gridCol w:w="1217"/>
      </w:tblGrid>
      <w:tr w:rsidR="00AE364D" w:rsidRPr="00AE364D" w14:paraId="49D30ACF" w14:textId="77777777" w:rsidTr="00AE02F4">
        <w:trPr>
          <w:trHeight w:val="315"/>
        </w:trPr>
        <w:tc>
          <w:tcPr>
            <w:tcW w:w="1742"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2F0EB58E" w14:textId="77777777" w:rsidR="00AE364D" w:rsidRPr="00AE364D" w:rsidRDefault="00AE364D" w:rsidP="00AE364D">
            <w:pPr>
              <w:spacing w:before="0" w:after="0" w:line="240" w:lineRule="auto"/>
              <w:rPr>
                <w:rFonts w:eastAsia="Times New Roman"/>
                <w:b/>
                <w:bCs/>
                <w:color w:val="000000"/>
                <w:kern w:val="0"/>
                <w14:ligatures w14:val="none"/>
              </w:rPr>
            </w:pPr>
            <w:r w:rsidRPr="00AE364D">
              <w:rPr>
                <w:rFonts w:eastAsia="Times New Roman"/>
                <w:b/>
                <w:bCs/>
                <w:color w:val="000000"/>
                <w:kern w:val="0"/>
                <w:lang w:val="en" w:eastAsia="ja-JP"/>
                <w14:ligatures w14:val="none"/>
              </w:rPr>
              <w:t>Policy Number</w:t>
            </w:r>
          </w:p>
        </w:tc>
        <w:tc>
          <w:tcPr>
            <w:tcW w:w="5134" w:type="dxa"/>
            <w:tcBorders>
              <w:top w:val="single" w:sz="4" w:space="0" w:color="auto"/>
              <w:left w:val="nil"/>
              <w:bottom w:val="single" w:sz="4" w:space="0" w:color="auto"/>
              <w:right w:val="single" w:sz="4" w:space="0" w:color="auto"/>
            </w:tcBorders>
            <w:shd w:val="clear" w:color="000000" w:fill="F0F4FA"/>
            <w:noWrap/>
            <w:vAlign w:val="bottom"/>
            <w:hideMark/>
          </w:tcPr>
          <w:p w14:paraId="6257CEDE" w14:textId="77777777" w:rsidR="00AE364D" w:rsidRPr="00AE364D" w:rsidRDefault="00AE364D" w:rsidP="00AE364D">
            <w:pPr>
              <w:spacing w:before="0" w:after="0" w:line="240" w:lineRule="auto"/>
              <w:rPr>
                <w:rFonts w:eastAsia="Times New Roman"/>
                <w:b/>
                <w:bCs/>
                <w:color w:val="000000"/>
                <w:kern w:val="0"/>
                <w14:ligatures w14:val="none"/>
              </w:rPr>
            </w:pPr>
            <w:r w:rsidRPr="00AE364D">
              <w:rPr>
                <w:rFonts w:eastAsia="Times New Roman"/>
                <w:b/>
                <w:bCs/>
                <w:color w:val="000000"/>
                <w:kern w:val="0"/>
                <w:lang w:val="en" w:eastAsia="ja-JP"/>
                <w14:ligatures w14:val="none"/>
              </w:rPr>
              <w:t>Authority</w:t>
            </w:r>
          </w:p>
        </w:tc>
        <w:tc>
          <w:tcPr>
            <w:tcW w:w="1441" w:type="dxa"/>
            <w:tcBorders>
              <w:top w:val="single" w:sz="4" w:space="0" w:color="auto"/>
              <w:left w:val="nil"/>
              <w:bottom w:val="single" w:sz="4" w:space="0" w:color="auto"/>
              <w:right w:val="single" w:sz="4" w:space="0" w:color="auto"/>
            </w:tcBorders>
            <w:shd w:val="clear" w:color="000000" w:fill="F0F4FA"/>
            <w:noWrap/>
            <w:vAlign w:val="bottom"/>
            <w:hideMark/>
          </w:tcPr>
          <w:p w14:paraId="5DA80306" w14:textId="77777777" w:rsidR="00AE364D" w:rsidRPr="00AE364D" w:rsidRDefault="00AE364D" w:rsidP="00AE364D">
            <w:pPr>
              <w:spacing w:before="0" w:after="0" w:line="240" w:lineRule="auto"/>
              <w:rPr>
                <w:rFonts w:eastAsia="Times New Roman"/>
                <w:b/>
                <w:bCs/>
                <w:color w:val="000000"/>
                <w:kern w:val="0"/>
                <w14:ligatures w14:val="none"/>
              </w:rPr>
            </w:pPr>
            <w:r w:rsidRPr="00AE364D">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1188D7FF" w14:textId="77777777" w:rsidR="00AE364D" w:rsidRPr="00AE364D" w:rsidRDefault="00AE364D" w:rsidP="00AE364D">
            <w:pPr>
              <w:spacing w:before="0" w:after="0" w:line="240" w:lineRule="auto"/>
              <w:rPr>
                <w:rFonts w:eastAsia="Times New Roman"/>
                <w:b/>
                <w:bCs/>
                <w:color w:val="000000"/>
                <w:kern w:val="0"/>
                <w14:ligatures w14:val="none"/>
              </w:rPr>
            </w:pPr>
            <w:r w:rsidRPr="00AE364D">
              <w:rPr>
                <w:rFonts w:eastAsia="Times New Roman"/>
                <w:b/>
                <w:bCs/>
                <w:color w:val="000000"/>
                <w:kern w:val="0"/>
                <w:lang w:val="en" w:eastAsia="ja-JP"/>
                <w14:ligatures w14:val="none"/>
              </w:rPr>
              <w:t>Effective Date</w:t>
            </w:r>
          </w:p>
        </w:tc>
      </w:tr>
      <w:tr w:rsidR="00AE02F4" w:rsidRPr="00AE364D" w14:paraId="028AD9BF" w14:textId="77777777" w:rsidTr="00AE02F4">
        <w:trPr>
          <w:trHeight w:val="300"/>
        </w:trPr>
        <w:tc>
          <w:tcPr>
            <w:tcW w:w="1742" w:type="dxa"/>
            <w:tcBorders>
              <w:top w:val="nil"/>
              <w:left w:val="single" w:sz="4" w:space="0" w:color="auto"/>
              <w:bottom w:val="single" w:sz="4" w:space="0" w:color="auto"/>
              <w:right w:val="single" w:sz="4" w:space="0" w:color="auto"/>
            </w:tcBorders>
            <w:shd w:val="clear" w:color="auto" w:fill="auto"/>
            <w:noWrap/>
            <w:vAlign w:val="bottom"/>
            <w:hideMark/>
          </w:tcPr>
          <w:p w14:paraId="40527161" w14:textId="77777777" w:rsidR="00AE02F4" w:rsidRPr="00AE364D" w:rsidRDefault="00AE02F4" w:rsidP="00AE02F4">
            <w:pPr>
              <w:spacing w:before="0" w:after="0" w:line="240" w:lineRule="auto"/>
              <w:rPr>
                <w:rFonts w:eastAsia="Times New Roman"/>
                <w:color w:val="000000"/>
                <w:kern w:val="0"/>
                <w14:ligatures w14:val="none"/>
              </w:rPr>
            </w:pPr>
            <w:r w:rsidRPr="00AE364D">
              <w:rPr>
                <w:rFonts w:eastAsia="Times New Roman"/>
                <w:color w:val="000000"/>
                <w:kern w:val="0"/>
                <w:lang w:val="en" w:eastAsia="ja-JP"/>
                <w14:ligatures w14:val="none"/>
              </w:rPr>
              <w:t>Part C, Chapter 16.3</w:t>
            </w:r>
          </w:p>
        </w:tc>
        <w:tc>
          <w:tcPr>
            <w:tcW w:w="5134" w:type="dxa"/>
            <w:tcBorders>
              <w:top w:val="nil"/>
              <w:left w:val="nil"/>
              <w:bottom w:val="single" w:sz="4" w:space="0" w:color="auto"/>
              <w:right w:val="single" w:sz="4" w:space="0" w:color="auto"/>
            </w:tcBorders>
            <w:shd w:val="clear" w:color="auto" w:fill="auto"/>
            <w:noWrap/>
            <w:vAlign w:val="center"/>
            <w:hideMark/>
          </w:tcPr>
          <w:p w14:paraId="35D46956" w14:textId="7227CAAF" w:rsidR="00AE02F4" w:rsidRPr="00AE364D" w:rsidRDefault="00AE02F4" w:rsidP="00AE02F4">
            <w:pPr>
              <w:spacing w:before="0" w:after="0" w:line="240" w:lineRule="auto"/>
              <w:rPr>
                <w:rFonts w:eastAsia="Times New Roman"/>
                <w:color w:val="000000"/>
                <w:kern w:val="0"/>
                <w14:ligatures w14:val="none"/>
              </w:rPr>
            </w:pPr>
            <w:r w:rsidRPr="000107B2">
              <w:rPr>
                <w:lang w:val="en"/>
              </w:rPr>
              <w:t xml:space="preserve">34 CFR </w:t>
            </w:r>
            <w:hyperlink r:id="rId10" w:anchor="p-361.5(c)(34)" w:history="1">
              <w:r w:rsidRPr="000107B2">
                <w:rPr>
                  <w:rStyle w:val="Hyperlink"/>
                  <w:lang w:val="en"/>
                </w:rPr>
                <w:t>§361.5(c)(34)</w:t>
              </w:r>
            </w:hyperlink>
            <w:r w:rsidRPr="000107B2">
              <w:rPr>
                <w:lang w:val="en"/>
              </w:rPr>
              <w:t xml:space="preserve">, </w:t>
            </w:r>
            <w:hyperlink r:id="rId11" w:anchor="p-361.48(b)(7)" w:history="1">
              <w:r w:rsidRPr="000107B2">
                <w:rPr>
                  <w:rStyle w:val="Hyperlink"/>
                  <w:lang w:val="en"/>
                </w:rPr>
                <w:t>§361.48(b)(7)</w:t>
              </w:r>
            </w:hyperlink>
            <w:r w:rsidRPr="000107B2">
              <w:rPr>
                <w:lang w:val="en"/>
              </w:rPr>
              <w:t xml:space="preserve">, and TWC Rule </w:t>
            </w:r>
            <w:hyperlink r:id="rId12" w:history="1">
              <w:r w:rsidRPr="000107B2">
                <w:rPr>
                  <w:rStyle w:val="Hyperlink"/>
                  <w:lang w:val="en"/>
                </w:rPr>
                <w:t>§856.46</w:t>
              </w:r>
            </w:hyperlink>
            <w:r w:rsidRPr="000107B2">
              <w:rPr>
                <w:sz w:val="28"/>
                <w:szCs w:val="28"/>
              </w:rPr>
              <w:t xml:space="preserve"> </w:t>
            </w:r>
          </w:p>
        </w:tc>
        <w:tc>
          <w:tcPr>
            <w:tcW w:w="1441" w:type="dxa"/>
            <w:tcBorders>
              <w:top w:val="nil"/>
              <w:left w:val="nil"/>
              <w:bottom w:val="single" w:sz="4" w:space="0" w:color="auto"/>
              <w:right w:val="single" w:sz="4" w:space="0" w:color="auto"/>
            </w:tcBorders>
            <w:shd w:val="clear" w:color="auto" w:fill="auto"/>
            <w:noWrap/>
            <w:vAlign w:val="bottom"/>
            <w:hideMark/>
          </w:tcPr>
          <w:p w14:paraId="30D9CC94" w14:textId="77777777" w:rsidR="00AE02F4" w:rsidRPr="00AE364D" w:rsidRDefault="00AE02F4" w:rsidP="00AE02F4">
            <w:pPr>
              <w:spacing w:before="0" w:after="0" w:line="240" w:lineRule="auto"/>
              <w:rPr>
                <w:rFonts w:eastAsia="Times New Roman"/>
                <w:color w:val="000000"/>
                <w:kern w:val="0"/>
                <w14:ligatures w14:val="none"/>
              </w:rPr>
            </w:pPr>
            <w:r w:rsidRPr="00AE364D">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2E8A166B" w14:textId="77777777" w:rsidR="00AE02F4" w:rsidRPr="00AE364D" w:rsidRDefault="00AE02F4" w:rsidP="00AE02F4">
            <w:pPr>
              <w:spacing w:before="0" w:after="0" w:line="240" w:lineRule="auto"/>
              <w:jc w:val="right"/>
              <w:rPr>
                <w:rFonts w:eastAsia="Times New Roman"/>
                <w:color w:val="000000"/>
                <w:kern w:val="0"/>
                <w14:ligatures w14:val="none"/>
              </w:rPr>
            </w:pPr>
            <w:r w:rsidRPr="00AE364D">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77494364" w14:textId="77777777" w:rsidR="000107B2" w:rsidRPr="00DC5EBA" w:rsidRDefault="000107B2" w:rsidP="000107B2">
      <w:pPr>
        <w:spacing w:after="240"/>
      </w:pPr>
      <w:r w:rsidRPr="00DC5EBA">
        <w:t>Specifically, the purpose of this policy and these procedures is to ensure adherence to</w:t>
      </w:r>
      <w:r>
        <w:t xml:space="preserve"> the provision of Short-Term Housing assistance for customers.</w:t>
      </w:r>
    </w:p>
    <w:p w14:paraId="077D4BD0" w14:textId="0E0D9B4E" w:rsidR="00F04098" w:rsidRDefault="00A001F3" w:rsidP="0033181C">
      <w:pPr>
        <w:pStyle w:val="Heading2"/>
      </w:pPr>
      <w:r>
        <w:t>DEFINITIONS</w:t>
      </w:r>
    </w:p>
    <w:p w14:paraId="10B78CE3" w14:textId="77777777" w:rsidR="000107B2" w:rsidRDefault="000107B2" w:rsidP="000107B2">
      <w:bookmarkStart w:id="0" w:name="_Hlk173428929"/>
      <w:r w:rsidRPr="003503DE">
        <w:rPr>
          <w:u w:val="single"/>
        </w:rPr>
        <w:t>Normal Living Expenses</w:t>
      </w:r>
      <w:r>
        <w:t>: I</w:t>
      </w:r>
      <w:r w:rsidRPr="00FD789A">
        <w:t xml:space="preserve">tems </w:t>
      </w:r>
      <w:r>
        <w:t xml:space="preserve">such </w:t>
      </w:r>
      <w:r w:rsidRPr="00FD789A">
        <w:t>as housing, food, clothing, and transportation, and whatever additional expenses would be considered necessary to those broad categories (not directly associated with the receipt of VR services), such as utility costs and vehicle insurance.</w:t>
      </w:r>
    </w:p>
    <w:p w14:paraId="6CA49955" w14:textId="77777777" w:rsidR="000107B2" w:rsidRDefault="000107B2" w:rsidP="000107B2">
      <w:r w:rsidRPr="003503DE">
        <w:rPr>
          <w:u w:val="single"/>
        </w:rPr>
        <w:t>Short-Term Housing</w:t>
      </w:r>
      <w:r>
        <w:t>: Ho</w:t>
      </w:r>
      <w:r w:rsidRPr="006F64DF">
        <w:t xml:space="preserve">using that is incurred as a direct result of participation in </w:t>
      </w:r>
      <w:r>
        <w:t>TWC-</w:t>
      </w:r>
      <w:r w:rsidRPr="006F64DF">
        <w:t>VR assessments or services. Short-term housing may be one day to a few weeks or months and must be in excess of the customer's normal living</w:t>
      </w:r>
      <w:r>
        <w:t xml:space="preserve"> expenses</w:t>
      </w:r>
      <w:r w:rsidRPr="006F64DF">
        <w:t>. </w:t>
      </w:r>
    </w:p>
    <w:bookmarkEnd w:id="0"/>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0D4F64BD" w14:textId="40BD1A64" w:rsidR="000107B2" w:rsidRPr="0083235D" w:rsidRDefault="000107B2" w:rsidP="0083235D">
      <w:r>
        <w:t xml:space="preserve">In some circumstances, the VR Counselor may agree to pay a landlord short-term housing expenses </w:t>
      </w:r>
      <w:r w:rsidRPr="004061F5">
        <w:t>that are incurred as a direct result of participation in TWC-VR services.</w:t>
      </w:r>
      <w:r>
        <w:t xml:space="preserve"> </w:t>
      </w:r>
      <w:r w:rsidRPr="00E27D33">
        <w:t>It must not be used to pay a customer's mortgage payment or usual and customary rent for housing, which are considered normal living expenses.</w:t>
      </w:r>
      <w:bookmarkStart w:id="1" w:name="_Hlk166453657"/>
      <w:r>
        <w:rPr>
          <w:b/>
          <w:bCs/>
        </w:rPr>
        <w:br w:type="page"/>
      </w:r>
    </w:p>
    <w:p w14:paraId="39D85D3F" w14:textId="72AA3F17" w:rsidR="000107B2" w:rsidRPr="00430EC2" w:rsidRDefault="000107B2" w:rsidP="000107B2">
      <w:pPr>
        <w:pStyle w:val="Heading3"/>
      </w:pPr>
      <w:r w:rsidRPr="00430EC2">
        <w:lastRenderedPageBreak/>
        <w:t>Additional Policy Considerations</w:t>
      </w:r>
    </w:p>
    <w:p w14:paraId="3C7E0D05" w14:textId="77777777" w:rsidR="000107B2" w:rsidRPr="002930E4" w:rsidRDefault="000107B2" w:rsidP="000107B2">
      <w:pPr>
        <w:pStyle w:val="ListBulleted"/>
      </w:pPr>
      <w:bookmarkStart w:id="2" w:name="_Hlk169821941"/>
      <w:bookmarkStart w:id="3" w:name="_Hlk170179930"/>
      <w:bookmarkEnd w:id="1"/>
      <w:r w:rsidRPr="002930E4">
        <w:rPr>
          <w:u w:val="single"/>
        </w:rPr>
        <w:t>Comparable Services and Benefits</w:t>
      </w:r>
      <w:r w:rsidRPr="002930E4">
        <w:t xml:space="preserve">: </w:t>
      </w:r>
      <w:bookmarkStart w:id="4" w:name="_Hlk170398290"/>
      <w:r w:rsidRPr="002930E4">
        <w:t xml:space="preserve">TWC-VR must not expend funds on </w:t>
      </w:r>
      <w:r>
        <w:t>Short-Term Housing</w:t>
      </w:r>
      <w:r w:rsidRPr="002930E4">
        <w:t xml:space="preserve"> </w:t>
      </w:r>
      <w:bookmarkStart w:id="5" w:name="_Hlk170399608"/>
      <w:r w:rsidRPr="002930E4">
        <w:t>services</w:t>
      </w:r>
      <w:bookmarkStart w:id="6" w:name="_Hlk169819439"/>
      <w:r w:rsidRPr="002930E4">
        <w:t xml:space="preserve"> unless the </w:t>
      </w:r>
      <w:r>
        <w:t>VR Counselor</w:t>
      </w:r>
      <w:r w:rsidRPr="002930E4">
        <w:t xml:space="preserve"> and the customer have made maximum efforts to secure comparable services and benefits from other sources to pay for services.</w:t>
      </w:r>
      <w:bookmarkEnd w:id="4"/>
      <w:bookmarkEnd w:id="5"/>
      <w:bookmarkEnd w:id="6"/>
    </w:p>
    <w:p w14:paraId="4AC653C7" w14:textId="77777777" w:rsidR="000107B2" w:rsidRPr="002930E4" w:rsidRDefault="000107B2" w:rsidP="000107B2">
      <w:pPr>
        <w:pStyle w:val="ListBulleted"/>
      </w:pPr>
      <w:bookmarkStart w:id="7" w:name="_Hlk170399640"/>
      <w:r w:rsidRPr="002930E4">
        <w:rPr>
          <w:u w:val="single"/>
        </w:rPr>
        <w:t>Customer Participation in the Cost of Services</w:t>
      </w:r>
      <w:r w:rsidRPr="002930E4">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3588E6C4" w14:textId="77777777" w:rsidR="000107B2" w:rsidRPr="002930E4" w:rsidRDefault="000107B2" w:rsidP="000107B2">
      <w:pPr>
        <w:pStyle w:val="ListBulleted"/>
      </w:pPr>
      <w:bookmarkStart w:id="8" w:name="_Hlk169817564"/>
      <w:bookmarkEnd w:id="2"/>
      <w:r w:rsidRPr="002930E4">
        <w:rPr>
          <w:u w:val="single"/>
        </w:rPr>
        <w:t>Recipients of Social Security Disability Benefits</w:t>
      </w:r>
      <w:r w:rsidRPr="002930E4">
        <w:t>: Recipients of Supplemental Security Income (SSI) or Social Security Disability Insurance (SSDI), due to the customer</w:t>
      </w:r>
      <w:r>
        <w:t>’</w:t>
      </w:r>
      <w:r w:rsidRPr="002930E4">
        <w:t>s disability, are exempt from the requirement to participate in the cost of TWC-VR services regardless of income.</w:t>
      </w:r>
    </w:p>
    <w:p w14:paraId="6009AF23" w14:textId="77777777" w:rsidR="000107B2" w:rsidRPr="002930E4" w:rsidRDefault="000107B2" w:rsidP="000107B2">
      <w:pPr>
        <w:pStyle w:val="ListBulleted"/>
      </w:pPr>
      <w:bookmarkStart w:id="9" w:name="_Hlk162890515"/>
      <w:r w:rsidRPr="002930E4">
        <w:rPr>
          <w:u w:val="single"/>
        </w:rPr>
        <w:t>Exceptions to Policy</w:t>
      </w:r>
      <w:r w:rsidRPr="002930E4">
        <w:t xml:space="preserve">: </w:t>
      </w:r>
      <w:bookmarkStart w:id="10" w:name="_Hlk170177184"/>
      <w:r w:rsidRPr="002930E4">
        <w:t>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9"/>
      <w:bookmarkEnd w:id="10"/>
    </w:p>
    <w:bookmarkEnd w:id="3"/>
    <w:bookmarkEnd w:id="7"/>
    <w:bookmarkEnd w:id="8"/>
    <w:p w14:paraId="11E48025" w14:textId="511E42FF" w:rsidR="00934027" w:rsidRDefault="00145D80" w:rsidP="00CF06B7">
      <w:pPr>
        <w:pStyle w:val="Heading2"/>
      </w:pPr>
      <w:r>
        <w:t>PROCEDURES</w:t>
      </w:r>
    </w:p>
    <w:p w14:paraId="3BF5E84A" w14:textId="24D93384" w:rsidR="000538A8" w:rsidRDefault="000107B2" w:rsidP="00896AC1">
      <w:pPr>
        <w:pStyle w:val="Heading3"/>
        <w:numPr>
          <w:ilvl w:val="0"/>
          <w:numId w:val="37"/>
        </w:numPr>
      </w:pPr>
      <w:r w:rsidRPr="00CF16F8">
        <w:t>Establishing a Vendor</w:t>
      </w:r>
    </w:p>
    <w:p w14:paraId="1DCB5F9C" w14:textId="2164F1F8" w:rsidR="000107B2" w:rsidRPr="00CE25BD" w:rsidRDefault="000107B2" w:rsidP="000107B2">
      <w:r w:rsidRPr="00CE25BD">
        <w:t>When it is expected that short-term housing</w:t>
      </w:r>
      <w:r>
        <w:t>, provided through</w:t>
      </w:r>
      <w:r w:rsidRPr="00CE25BD">
        <w:t xml:space="preserve"> maintenance</w:t>
      </w:r>
      <w:r>
        <w:t xml:space="preserve"> services, </w:t>
      </w:r>
      <w:r w:rsidRPr="008B6231">
        <w:t>in excess of normal living expenses</w:t>
      </w:r>
      <w:r>
        <w:t xml:space="preserve">, </w:t>
      </w:r>
      <w:r w:rsidRPr="00CE25BD">
        <w:t xml:space="preserve">will exceed a total of </w:t>
      </w:r>
      <w:r w:rsidRPr="00CF16F8">
        <w:rPr>
          <w:u w:val="single"/>
        </w:rPr>
        <w:t>three</w:t>
      </w:r>
      <w:r w:rsidRPr="00CE25BD">
        <w:t xml:space="preserve"> months (cumulatively or consecutively), </w:t>
      </w:r>
      <w:r>
        <w:t>TWC-</w:t>
      </w:r>
      <w:r w:rsidRPr="00CE25BD">
        <w:t xml:space="preserve">VR </w:t>
      </w:r>
      <w:r>
        <w:t>staff</w:t>
      </w:r>
      <w:r w:rsidRPr="00CE25BD">
        <w:t xml:space="preserve"> must initiate the process to establish the landlord as a provider for "short-term housing" during the first month for which short-term housing maintenance is authorized. </w:t>
      </w:r>
    </w:p>
    <w:p w14:paraId="1E1FAFE0" w14:textId="77777777" w:rsidR="000107B2" w:rsidRPr="00CE25BD" w:rsidRDefault="000107B2" w:rsidP="000107B2">
      <w:r w:rsidRPr="00CE25BD">
        <w:t xml:space="preserve">If the landlord declines to be established as a provider for any reason, or if </w:t>
      </w:r>
      <w:r>
        <w:t>they have</w:t>
      </w:r>
      <w:r w:rsidRPr="00CE25BD">
        <w:t xml:space="preserve"> a hold through the </w:t>
      </w:r>
      <w:r>
        <w:t xml:space="preserve">Texas </w:t>
      </w:r>
      <w:r w:rsidRPr="00CE25BD">
        <w:t xml:space="preserve">comptroller and cannot be paid, alternate housing must be explored. If no other acceptable options are available, justification for paying short-term housing maintenance to the customer requires VR </w:t>
      </w:r>
      <w:r>
        <w:t>M</w:t>
      </w:r>
      <w:r w:rsidRPr="00CE25BD">
        <w:t xml:space="preserve">anager approval. </w:t>
      </w:r>
    </w:p>
    <w:p w14:paraId="40AAF3CD" w14:textId="77777777" w:rsidR="000107B2" w:rsidRPr="00CF16F8" w:rsidRDefault="000107B2" w:rsidP="000107B2">
      <w:r w:rsidRPr="00CE25BD">
        <w:t xml:space="preserve">Once established as a </w:t>
      </w:r>
      <w:r>
        <w:t>TWC-</w:t>
      </w:r>
      <w:r w:rsidRPr="00CE25BD">
        <w:t xml:space="preserve">VR provider, </w:t>
      </w:r>
      <w:r w:rsidRPr="00815B83">
        <w:t>short-term housing maintenance is paid as short-term housing to the providing landlord or lessor.</w:t>
      </w:r>
    </w:p>
    <w:p w14:paraId="5CD3817B" w14:textId="77777777" w:rsidR="000107B2" w:rsidRPr="000107B2" w:rsidRDefault="000107B2" w:rsidP="000107B2">
      <w:pPr>
        <w:pStyle w:val="Heading3"/>
      </w:pPr>
      <w:r w:rsidRPr="00740888">
        <w:t>Short-Term Housing Expenses</w:t>
      </w:r>
    </w:p>
    <w:p w14:paraId="7957C7A0" w14:textId="0412B5C2" w:rsidR="000107B2" w:rsidRDefault="000107B2" w:rsidP="000107B2">
      <w:r>
        <w:t>This service</w:t>
      </w:r>
      <w:r w:rsidRPr="00CE25BD">
        <w:t xml:space="preserve"> is used only for short-term housing expenses that are paid to a landlord and incurred by the customer as a direct result of participation in </w:t>
      </w:r>
      <w:r>
        <w:t>TWC-</w:t>
      </w:r>
      <w:r w:rsidRPr="00CE25BD">
        <w:t>VR</w:t>
      </w:r>
      <w:r>
        <w:t xml:space="preserve"> </w:t>
      </w:r>
      <w:r w:rsidRPr="00CE25BD">
        <w:t xml:space="preserve">services. </w:t>
      </w:r>
    </w:p>
    <w:p w14:paraId="37924242" w14:textId="77777777" w:rsidR="000107B2" w:rsidRPr="00CE25BD" w:rsidRDefault="000107B2" w:rsidP="000107B2">
      <w:r w:rsidRPr="00CE25BD">
        <w:lastRenderedPageBreak/>
        <w:t xml:space="preserve">The </w:t>
      </w:r>
      <w:r>
        <w:t>VR Counselor</w:t>
      </w:r>
      <w:r w:rsidRPr="00CE25BD">
        <w:t xml:space="preserve"> may approve an amount for short-term housing </w:t>
      </w:r>
      <w:r>
        <w:t xml:space="preserve">expenses </w:t>
      </w:r>
      <w:r w:rsidRPr="00CE25BD">
        <w:t>paid to a provider that is</w:t>
      </w:r>
      <w:r>
        <w:t xml:space="preserve"> in excess of</w:t>
      </w:r>
      <w:r w:rsidRPr="00CE25BD">
        <w:t xml:space="preserve"> the customer's normal living expenses only when</w:t>
      </w:r>
      <w:r>
        <w:t>—</w:t>
      </w:r>
    </w:p>
    <w:p w14:paraId="01049EA5" w14:textId="77777777" w:rsidR="000107B2" w:rsidRPr="00CE25BD" w:rsidRDefault="000107B2" w:rsidP="000107B2">
      <w:pPr>
        <w:pStyle w:val="ListBulleted"/>
      </w:pPr>
      <w:r>
        <w:t>Th</w:t>
      </w:r>
      <w:r w:rsidRPr="00CE25BD">
        <w:t xml:space="preserve">e amount is the best-value decision to support </w:t>
      </w:r>
      <w:r>
        <w:t>TWC-</w:t>
      </w:r>
      <w:r w:rsidRPr="00CE25BD">
        <w:t>VR assessments and services other than training; and</w:t>
      </w:r>
    </w:p>
    <w:p w14:paraId="2946CA0E" w14:textId="77777777" w:rsidR="000107B2" w:rsidRPr="00CE25BD" w:rsidRDefault="000107B2" w:rsidP="000107B2">
      <w:pPr>
        <w:pStyle w:val="ListBulleted"/>
      </w:pPr>
      <w:r>
        <w:t>T</w:t>
      </w:r>
      <w:r w:rsidRPr="00CE25BD">
        <w:t>he service is not available in the customer's local community (the same town as the customer's residence or within a 50-mile radius of the customer's residence).</w:t>
      </w:r>
    </w:p>
    <w:p w14:paraId="1BC231B6" w14:textId="77777777" w:rsidR="000107B2" w:rsidRPr="00CE25BD" w:rsidRDefault="000107B2" w:rsidP="000107B2">
      <w:r w:rsidRPr="00CE25BD">
        <w:t>Customers attending C</w:t>
      </w:r>
      <w:r>
        <w:t xml:space="preserve">riss </w:t>
      </w:r>
      <w:r w:rsidRPr="00CE25BD">
        <w:t>C</w:t>
      </w:r>
      <w:r>
        <w:t xml:space="preserve">ole </w:t>
      </w:r>
      <w:r w:rsidRPr="00CE25BD">
        <w:t>R</w:t>
      </w:r>
      <w:r>
        <w:t>ehabilitation Center (CCRC)</w:t>
      </w:r>
      <w:r w:rsidRPr="00CE25BD">
        <w:t xml:space="preserve"> Outreach Mini-trainings are exempt from the 50-mile radius requirement.</w:t>
      </w:r>
    </w:p>
    <w:p w14:paraId="03F9E20F" w14:textId="77777777" w:rsidR="000107B2" w:rsidRDefault="000107B2" w:rsidP="000107B2">
      <w:r w:rsidRPr="00CE25BD">
        <w:t xml:space="preserve">Once established as a </w:t>
      </w:r>
      <w:r>
        <w:t>TWC-</w:t>
      </w:r>
      <w:r w:rsidRPr="00CE25BD">
        <w:t xml:space="preserve">VR provider, short-term housing </w:t>
      </w:r>
      <w:r>
        <w:t>expenses</w:t>
      </w:r>
      <w:r w:rsidRPr="00CE25BD">
        <w:t xml:space="preserve"> </w:t>
      </w:r>
      <w:r>
        <w:t>are</w:t>
      </w:r>
      <w:r w:rsidRPr="00CE25BD">
        <w:t xml:space="preserve"> paid to the </w:t>
      </w:r>
      <w:r>
        <w:t>landlord</w:t>
      </w:r>
      <w:r w:rsidRPr="00CE25BD">
        <w:t>.</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0CA40E64" w14:textId="77777777" w:rsidR="000107B2" w:rsidRDefault="000107B2" w:rsidP="000107B2">
      <w:pPr>
        <w:numPr>
          <w:ilvl w:val="0"/>
          <w:numId w:val="26"/>
        </w:numPr>
        <w:autoSpaceDE w:val="0"/>
        <w:autoSpaceDN w:val="0"/>
        <w:adjustRightInd w:val="0"/>
        <w:spacing w:line="259" w:lineRule="auto"/>
        <w:rPr>
          <w:i/>
          <w:iCs/>
          <w:szCs w:val="22"/>
          <w:lang w:val="en" w:eastAsia="ja-JP"/>
        </w:rPr>
      </w:pPr>
      <w:bookmarkStart w:id="11" w:name="_Hlk167898234"/>
      <w:r>
        <w:rPr>
          <w:i/>
          <w:iCs/>
          <w:szCs w:val="22"/>
          <w:lang w:val="en" w:eastAsia="ja-JP"/>
        </w:rPr>
        <w:t xml:space="preserve">VR Manager approval is required for all short-term housing and is limited to three-month increments (cumulatively or consecutively). </w:t>
      </w:r>
    </w:p>
    <w:bookmarkEnd w:id="11"/>
    <w:p w14:paraId="0DE61B2D" w14:textId="0FE45984" w:rsidR="000107B2" w:rsidRPr="00ED760C" w:rsidRDefault="000107B2" w:rsidP="000107B2">
      <w:pPr>
        <w:numPr>
          <w:ilvl w:val="0"/>
          <w:numId w:val="26"/>
        </w:numPr>
        <w:autoSpaceDE w:val="0"/>
        <w:autoSpaceDN w:val="0"/>
        <w:adjustRightInd w:val="0"/>
        <w:spacing w:line="259" w:lineRule="auto"/>
        <w:rPr>
          <w:i/>
          <w:iCs/>
          <w:szCs w:val="22"/>
          <w:lang w:val="en" w:eastAsia="ja-JP"/>
        </w:rPr>
      </w:pPr>
      <w:r>
        <w:rPr>
          <w:i/>
          <w:iCs/>
          <w:szCs w:val="22"/>
          <w:lang w:val="en" w:eastAsia="ja-JP"/>
        </w:rPr>
        <w:t xml:space="preserve">VR Manager approval is required for continued maintenance for short-term housing provided to the </w:t>
      </w:r>
      <w:r w:rsidRPr="002722DD">
        <w:rPr>
          <w:i/>
          <w:iCs/>
          <w:szCs w:val="22"/>
          <w:lang w:val="en" w:eastAsia="ja-JP"/>
        </w:rPr>
        <w:t xml:space="preserve">customer </w:t>
      </w:r>
      <w:r>
        <w:rPr>
          <w:i/>
          <w:iCs/>
          <w:szCs w:val="22"/>
          <w:lang w:val="en" w:eastAsia="ja-JP"/>
        </w:rPr>
        <w:t>i</w:t>
      </w:r>
      <w:r w:rsidRPr="002722DD">
        <w:rPr>
          <w:i/>
          <w:iCs/>
          <w:szCs w:val="22"/>
          <w:lang w:val="en" w:eastAsia="ja-JP"/>
        </w:rPr>
        <w:t>f the landlord declines to be established as a provider for any reason, or if they have a hold through the State comptroller and cannot be paid, and no other acceptable options are available.</w:t>
      </w:r>
      <w:bookmarkStart w:id="12" w:name="_Hlk167898260"/>
    </w:p>
    <w:bookmarkEnd w:id="12"/>
    <w:p w14:paraId="3479F29E" w14:textId="77777777" w:rsidR="00A448E9" w:rsidRPr="00A448E9" w:rsidRDefault="00A448E9" w:rsidP="00A448E9">
      <w:pPr>
        <w:keepNext/>
        <w:keepLines/>
        <w:spacing w:before="240"/>
        <w:outlineLvl w:val="1"/>
        <w:rPr>
          <w:rFonts w:eastAsiaTheme="majorEastAsia"/>
          <w:b/>
          <w:bCs/>
          <w:color w:val="222D69" w:themeColor="accent1"/>
          <w:sz w:val="36"/>
          <w:szCs w:val="36"/>
        </w:rPr>
      </w:pPr>
      <w:r w:rsidRPr="00A448E9">
        <w:rPr>
          <w:rFonts w:eastAsiaTheme="majorEastAsia"/>
          <w:b/>
          <w:bCs/>
          <w:color w:val="222D69" w:themeColor="accent1"/>
          <w:sz w:val="36"/>
          <w:szCs w:val="36"/>
        </w:rPr>
        <w:t>REVIEW</w:t>
      </w:r>
    </w:p>
    <w:p w14:paraId="455D60C1" w14:textId="77777777" w:rsidR="00A448E9" w:rsidRPr="009D5287" w:rsidRDefault="00A448E9" w:rsidP="00A448E9">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770"/>
        <w:gridCol w:w="972"/>
        <w:gridCol w:w="6608"/>
      </w:tblGrid>
      <w:tr w:rsidR="00A448E9" w:rsidRPr="009D5287" w14:paraId="26143752" w14:textId="77777777" w:rsidTr="00233167">
        <w:tc>
          <w:tcPr>
            <w:tcW w:w="1770" w:type="dxa"/>
            <w:shd w:val="clear" w:color="auto" w:fill="F0F4FA" w:themeFill="accent4"/>
            <w:vAlign w:val="center"/>
          </w:tcPr>
          <w:p w14:paraId="2A559F49" w14:textId="77777777" w:rsidR="00A448E9" w:rsidRPr="009D5287" w:rsidRDefault="00A448E9" w:rsidP="0023316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31CC7ED3" w14:textId="77777777" w:rsidR="00A448E9" w:rsidRPr="009D5287" w:rsidRDefault="00A448E9" w:rsidP="00233167">
            <w:pPr>
              <w:rPr>
                <w:b/>
                <w:lang w:val="en" w:eastAsia="ja-JP"/>
              </w:rPr>
            </w:pPr>
            <w:r w:rsidRPr="009D5287">
              <w:rPr>
                <w:b/>
                <w:lang w:val="en" w:eastAsia="ja-JP"/>
              </w:rPr>
              <w:t>Type</w:t>
            </w:r>
          </w:p>
        </w:tc>
        <w:tc>
          <w:tcPr>
            <w:tcW w:w="6608" w:type="dxa"/>
            <w:shd w:val="clear" w:color="auto" w:fill="F0F4FA" w:themeFill="accent4"/>
            <w:vAlign w:val="center"/>
          </w:tcPr>
          <w:p w14:paraId="0D2A2D30" w14:textId="77777777" w:rsidR="00A448E9" w:rsidRPr="009D5287" w:rsidRDefault="00A448E9" w:rsidP="00233167">
            <w:pPr>
              <w:rPr>
                <w:b/>
                <w:lang w:val="en" w:eastAsia="ja-JP"/>
              </w:rPr>
            </w:pPr>
            <w:r w:rsidRPr="009D5287">
              <w:rPr>
                <w:b/>
                <w:lang w:val="en" w:eastAsia="ja-JP"/>
              </w:rPr>
              <w:t>Change Description</w:t>
            </w:r>
          </w:p>
        </w:tc>
      </w:tr>
      <w:tr w:rsidR="00A448E9" w:rsidRPr="009D5287" w14:paraId="36BCD823" w14:textId="77777777" w:rsidTr="00233167">
        <w:tc>
          <w:tcPr>
            <w:tcW w:w="1770" w:type="dxa"/>
          </w:tcPr>
          <w:p w14:paraId="709B170F" w14:textId="77777777" w:rsidR="00A448E9" w:rsidRPr="009D5287" w:rsidRDefault="00A448E9" w:rsidP="00233167">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972" w:type="dxa"/>
          </w:tcPr>
          <w:p w14:paraId="08D0853A" w14:textId="77777777" w:rsidR="00A448E9" w:rsidRPr="009D5287" w:rsidRDefault="00A448E9" w:rsidP="00233167">
            <w:r w:rsidRPr="009D5287">
              <w:t>New</w:t>
            </w:r>
          </w:p>
        </w:tc>
        <w:tc>
          <w:tcPr>
            <w:tcW w:w="6608" w:type="dxa"/>
          </w:tcPr>
          <w:p w14:paraId="4293AF67" w14:textId="77777777" w:rsidR="00A448E9" w:rsidRPr="009D5287" w:rsidRDefault="00A448E9" w:rsidP="00233167">
            <w:pPr>
              <w:rPr>
                <w:lang w:val="en" w:eastAsia="ja-JP"/>
              </w:rPr>
            </w:pPr>
            <w:r w:rsidRPr="009D5287">
              <w:t>VRSM Policy and Procedure Rewrite</w:t>
            </w:r>
          </w:p>
        </w:tc>
      </w:tr>
    </w:tbl>
    <w:p w14:paraId="5EB73B5E" w14:textId="6882CAF2" w:rsidR="001901F0" w:rsidRPr="00E57035" w:rsidRDefault="001901F0" w:rsidP="00895186">
      <w:pPr>
        <w:rPr>
          <w:color w:val="C00000"/>
        </w:rPr>
      </w:pPr>
    </w:p>
    <w:sectPr w:rsidR="001901F0" w:rsidRPr="00E57035" w:rsidSect="00F82376">
      <w:headerReference w:type="default" r:id="rId13"/>
      <w:footerReference w:type="default" r:id="rId14"/>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7A278" w14:textId="77777777" w:rsidR="009D0FE7" w:rsidRDefault="009D0FE7" w:rsidP="00895186">
      <w:r>
        <w:separator/>
      </w:r>
    </w:p>
  </w:endnote>
  <w:endnote w:type="continuationSeparator" w:id="0">
    <w:p w14:paraId="5EAF452F" w14:textId="77777777" w:rsidR="009D0FE7" w:rsidRDefault="009D0FE7"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0BFABCF1" w:rsidR="00B24E6C" w:rsidRDefault="000107B2" w:rsidP="00895186">
    <w:pPr>
      <w:pStyle w:val="Footer"/>
    </w:pPr>
    <w:r>
      <w:rPr>
        <w:noProof/>
      </w:rPr>
      <mc:AlternateContent>
        <mc:Choice Requires="wps">
          <w:drawing>
            <wp:anchor distT="0" distB="0" distL="114300" distR="114300" simplePos="0" relativeHeight="251661312" behindDoc="0" locked="0" layoutInCell="1" allowOverlap="1" wp14:anchorId="00B0B3F3" wp14:editId="2EA6C4ED">
              <wp:simplePos x="0" y="0"/>
              <wp:positionH relativeFrom="column">
                <wp:posOffset>-377190</wp:posOffset>
              </wp:positionH>
              <wp:positionV relativeFrom="paragraph">
                <wp:posOffset>6350</wp:posOffset>
              </wp:positionV>
              <wp:extent cx="492252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922520" cy="488950"/>
                      </a:xfrm>
                      <a:prstGeom prst="rect">
                        <a:avLst/>
                      </a:prstGeom>
                      <a:noFill/>
                      <a:ln w="6350">
                        <a:noFill/>
                      </a:ln>
                    </wps:spPr>
                    <wps:txbx>
                      <w:txbxContent>
                        <w:p w14:paraId="25686EF3" w14:textId="3CD042F5" w:rsidR="00501E08" w:rsidRPr="00501E08" w:rsidRDefault="000107B2" w:rsidP="00895186">
                          <w:r>
                            <w:t>Part C, Chapter 16.3: Short-Term Housing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87.6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" filled="f" stroked="f" strokeweight=".5pt">
              <v:textbox>
                <w:txbxContent>
                  <w:p w14:paraId="25686EF3" w14:textId="3CD042F5" w:rsidR="00501E08" w:rsidRPr="00501E08" w:rsidRDefault="000107B2" w:rsidP="00895186">
                    <w:r>
                      <w:t>Part C, Chapter 16.3: Short-Term Housing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18E4B884">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827C3" w14:textId="77777777" w:rsidR="009D0FE7" w:rsidRDefault="009D0FE7" w:rsidP="00895186">
      <w:r>
        <w:separator/>
      </w:r>
    </w:p>
  </w:footnote>
  <w:footnote w:type="continuationSeparator" w:id="0">
    <w:p w14:paraId="1C35B7E6" w14:textId="77777777" w:rsidR="009D0FE7" w:rsidRDefault="009D0FE7"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1"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5D34CE"/>
    <w:multiLevelType w:val="hybridMultilevel"/>
    <w:tmpl w:val="ED3E1C4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4"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5"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6D1B7272"/>
    <w:multiLevelType w:val="multilevel"/>
    <w:tmpl w:val="483487E4"/>
    <w:lvl w:ilvl="0">
      <w:start w:val="1"/>
      <w:numFmt w:val="upperLetter"/>
      <w:lvlText w:val="%1."/>
      <w:lvlJc w:val="left"/>
      <w:pPr>
        <w:ind w:left="504" w:hanging="360"/>
      </w:pPr>
      <w:rPr>
        <w:rFonts w:hint="default"/>
        <w:b w:val="0"/>
        <w:i w:val="0"/>
        <w:sz w:val="24"/>
      </w:rPr>
    </w:lvl>
    <w:lvl w:ilvl="1">
      <w:start w:val="1"/>
      <w:numFmt w:val="bullet"/>
      <w:lvlText w:val=""/>
      <w:lvlJc w:val="left"/>
      <w:pPr>
        <w:ind w:left="1152" w:hanging="360"/>
      </w:pPr>
      <w:rPr>
        <w:rFonts w:ascii="Symbol" w:hAnsi="Symbol" w:hint="default"/>
        <w:b w:val="0"/>
        <w:i w:val="0"/>
        <w:sz w:val="24"/>
        <w:u w:val="none"/>
      </w:rPr>
    </w:lvl>
    <w:lvl w:ilvl="2">
      <w:start w:val="1"/>
      <w:numFmt w:val="bullet"/>
      <w:lvlText w:val="o"/>
      <w:lvlJc w:val="left"/>
      <w:pPr>
        <w:ind w:left="1872" w:hanging="360"/>
      </w:pPr>
      <w:rPr>
        <w:rFonts w:ascii="Courier New" w:hAnsi="Courier New" w:hint="default"/>
      </w:rPr>
    </w:lvl>
    <w:lvl w:ilvl="3">
      <w:start w:val="1"/>
      <w:numFmt w:val="bullet"/>
      <w:lvlText w:val=""/>
      <w:lvlJc w:val="left"/>
      <w:pPr>
        <w:ind w:left="2592" w:hanging="360"/>
      </w:pPr>
      <w:rPr>
        <w:rFonts w:ascii="Wingdings" w:hAnsi="Wingdings" w:hint="default"/>
      </w:rPr>
    </w:lvl>
    <w:lvl w:ilvl="4">
      <w:start w:val="1"/>
      <w:numFmt w:val="bullet"/>
      <w:lvlText w:val=""/>
      <w:lvlJc w:val="left"/>
      <w:pPr>
        <w:ind w:left="3312" w:hanging="360"/>
      </w:pPr>
      <w:rPr>
        <w:rFonts w:ascii="Wingdings" w:hAnsi="Wingdings" w:hint="default"/>
      </w:rPr>
    </w:lvl>
    <w:lvl w:ilvl="5">
      <w:start w:val="1"/>
      <w:numFmt w:val="bullet"/>
      <w:lvlText w:val=""/>
      <w:lvlJc w:val="left"/>
      <w:pPr>
        <w:tabs>
          <w:tab w:val="num" w:pos="3744"/>
        </w:tabs>
        <w:ind w:left="4104" w:hanging="360"/>
      </w:pPr>
      <w:rPr>
        <w:rFonts w:ascii="Symbol" w:hAnsi="Symbol" w:hint="default"/>
        <w:color w:val="auto"/>
      </w:rPr>
    </w:lvl>
    <w:lvl w:ilvl="6">
      <w:start w:val="1"/>
      <w:numFmt w:val="bullet"/>
      <w:lvlText w:val=""/>
      <w:lvlJc w:val="left"/>
      <w:pPr>
        <w:ind w:left="4968" w:hanging="360"/>
      </w:pPr>
      <w:rPr>
        <w:rFonts w:ascii="Symbol" w:hAnsi="Symbol" w:hint="default"/>
      </w:rPr>
    </w:lvl>
    <w:lvl w:ilvl="7">
      <w:start w:val="1"/>
      <w:numFmt w:val="bullet"/>
      <w:lvlText w:val="×"/>
      <w:lvlJc w:val="left"/>
      <w:pPr>
        <w:tabs>
          <w:tab w:val="num" w:pos="5760"/>
        </w:tabs>
        <w:ind w:left="5760" w:hanging="360"/>
      </w:pPr>
      <w:rPr>
        <w:rFonts w:ascii="Arial" w:hAnsi="Arial" w:hint="default"/>
        <w:color w:val="auto"/>
      </w:rPr>
    </w:lvl>
    <w:lvl w:ilvl="8">
      <w:start w:val="1"/>
      <w:numFmt w:val="bullet"/>
      <w:lvlText w:val=""/>
      <w:lvlJc w:val="left"/>
      <w:pPr>
        <w:tabs>
          <w:tab w:val="num" w:pos="6336"/>
        </w:tabs>
        <w:ind w:left="6768" w:hanging="432"/>
      </w:pPr>
      <w:rPr>
        <w:rFonts w:ascii="Symbol" w:hAnsi="Symbol" w:hint="default"/>
      </w:rPr>
    </w:lvl>
  </w:abstractNum>
  <w:abstractNum w:abstractNumId="32"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0"/>
  </w:num>
  <w:num w:numId="2" w16cid:durableId="620455520">
    <w:abstractNumId w:val="0"/>
  </w:num>
  <w:num w:numId="3" w16cid:durableId="943148761">
    <w:abstractNumId w:val="16"/>
  </w:num>
  <w:num w:numId="4" w16cid:durableId="109056539">
    <w:abstractNumId w:val="29"/>
  </w:num>
  <w:num w:numId="5" w16cid:durableId="1893686843">
    <w:abstractNumId w:val="21"/>
  </w:num>
  <w:num w:numId="6" w16cid:durableId="760954600">
    <w:abstractNumId w:val="24"/>
  </w:num>
  <w:num w:numId="7" w16cid:durableId="1429428784">
    <w:abstractNumId w:val="12"/>
  </w:num>
  <w:num w:numId="8" w16cid:durableId="436485834">
    <w:abstractNumId w:val="7"/>
  </w:num>
  <w:num w:numId="9" w16cid:durableId="127362230">
    <w:abstractNumId w:val="4"/>
  </w:num>
  <w:num w:numId="10" w16cid:durableId="1604805518">
    <w:abstractNumId w:val="5"/>
  </w:num>
  <w:num w:numId="11" w16cid:durableId="1256401764">
    <w:abstractNumId w:val="25"/>
  </w:num>
  <w:num w:numId="12" w16cid:durableId="1548175440">
    <w:abstractNumId w:val="30"/>
  </w:num>
  <w:num w:numId="13" w16cid:durableId="975644156">
    <w:abstractNumId w:val="6"/>
  </w:num>
  <w:num w:numId="14" w16cid:durableId="2099713293">
    <w:abstractNumId w:val="18"/>
  </w:num>
  <w:num w:numId="15" w16cid:durableId="1594316770">
    <w:abstractNumId w:val="22"/>
  </w:num>
  <w:num w:numId="16" w16cid:durableId="700741873">
    <w:abstractNumId w:val="27"/>
  </w:num>
  <w:num w:numId="17" w16cid:durableId="1651835230">
    <w:abstractNumId w:val="17"/>
  </w:num>
  <w:num w:numId="18" w16cid:durableId="883299119">
    <w:abstractNumId w:val="28"/>
  </w:num>
  <w:num w:numId="19" w16cid:durableId="84305632">
    <w:abstractNumId w:val="11"/>
  </w:num>
  <w:num w:numId="20" w16cid:durableId="1057705478">
    <w:abstractNumId w:val="33"/>
  </w:num>
  <w:num w:numId="21" w16cid:durableId="96758055">
    <w:abstractNumId w:val="23"/>
  </w:num>
  <w:num w:numId="22" w16cid:durableId="722797963">
    <w:abstractNumId w:val="8"/>
  </w:num>
  <w:num w:numId="23" w16cid:durableId="1638485069">
    <w:abstractNumId w:val="14"/>
  </w:num>
  <w:num w:numId="24" w16cid:durableId="1439984590">
    <w:abstractNumId w:val="33"/>
    <w:lvlOverride w:ilvl="0">
      <w:startOverride w:val="1"/>
    </w:lvlOverride>
  </w:num>
  <w:num w:numId="25" w16cid:durableId="460730897">
    <w:abstractNumId w:val="9"/>
  </w:num>
  <w:num w:numId="26" w16cid:durableId="1377244451">
    <w:abstractNumId w:val="1"/>
  </w:num>
  <w:num w:numId="27" w16cid:durableId="30420175">
    <w:abstractNumId w:val="13"/>
  </w:num>
  <w:num w:numId="28" w16cid:durableId="763261832">
    <w:abstractNumId w:val="2"/>
  </w:num>
  <w:num w:numId="29" w16cid:durableId="1268929695">
    <w:abstractNumId w:val="13"/>
    <w:lvlOverride w:ilvl="0">
      <w:startOverride w:val="1"/>
    </w:lvlOverride>
  </w:num>
  <w:num w:numId="30" w16cid:durableId="1510757688">
    <w:abstractNumId w:val="13"/>
  </w:num>
  <w:num w:numId="31" w16cid:durableId="1760524021">
    <w:abstractNumId w:val="34"/>
  </w:num>
  <w:num w:numId="32" w16cid:durableId="191573243">
    <w:abstractNumId w:val="26"/>
  </w:num>
  <w:num w:numId="33" w16cid:durableId="718751240">
    <w:abstractNumId w:val="3"/>
  </w:num>
  <w:num w:numId="34" w16cid:durableId="1367289556">
    <w:abstractNumId w:val="19"/>
  </w:num>
  <w:num w:numId="35" w16cid:durableId="1934777624">
    <w:abstractNumId w:val="10"/>
  </w:num>
  <w:num w:numId="36" w16cid:durableId="1647272484">
    <w:abstractNumId w:val="32"/>
  </w:num>
  <w:num w:numId="37" w16cid:durableId="1327826153">
    <w:abstractNumId w:val="13"/>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2807033">
    <w:abstractNumId w:val="31"/>
  </w:num>
  <w:num w:numId="40" w16cid:durableId="2033530686">
    <w:abstractNumId w:val="15"/>
  </w:num>
  <w:num w:numId="41" w16cid:durableId="2040222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07B2"/>
    <w:rsid w:val="000172DD"/>
    <w:rsid w:val="00033AAF"/>
    <w:rsid w:val="00036423"/>
    <w:rsid w:val="000509C5"/>
    <w:rsid w:val="00052545"/>
    <w:rsid w:val="000538A8"/>
    <w:rsid w:val="0005762A"/>
    <w:rsid w:val="00094031"/>
    <w:rsid w:val="000A1F40"/>
    <w:rsid w:val="000B1231"/>
    <w:rsid w:val="000B3B97"/>
    <w:rsid w:val="000B6B09"/>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A4FD9"/>
    <w:rsid w:val="002B3B60"/>
    <w:rsid w:val="002C0046"/>
    <w:rsid w:val="002E0AF2"/>
    <w:rsid w:val="002F3A16"/>
    <w:rsid w:val="002F7604"/>
    <w:rsid w:val="00303143"/>
    <w:rsid w:val="003155F3"/>
    <w:rsid w:val="00330015"/>
    <w:rsid w:val="0033181C"/>
    <w:rsid w:val="00340B05"/>
    <w:rsid w:val="003435FF"/>
    <w:rsid w:val="003500F1"/>
    <w:rsid w:val="00380C78"/>
    <w:rsid w:val="00381C86"/>
    <w:rsid w:val="00387B68"/>
    <w:rsid w:val="003B11A4"/>
    <w:rsid w:val="003E1761"/>
    <w:rsid w:val="00414B84"/>
    <w:rsid w:val="00417839"/>
    <w:rsid w:val="00420B1A"/>
    <w:rsid w:val="00422F66"/>
    <w:rsid w:val="00437552"/>
    <w:rsid w:val="0044342D"/>
    <w:rsid w:val="00472E58"/>
    <w:rsid w:val="00473095"/>
    <w:rsid w:val="0049537E"/>
    <w:rsid w:val="004E6008"/>
    <w:rsid w:val="00501E08"/>
    <w:rsid w:val="00507EDE"/>
    <w:rsid w:val="00512F6B"/>
    <w:rsid w:val="005349DD"/>
    <w:rsid w:val="00555595"/>
    <w:rsid w:val="005735AB"/>
    <w:rsid w:val="0057562C"/>
    <w:rsid w:val="00580991"/>
    <w:rsid w:val="005820F2"/>
    <w:rsid w:val="00590E50"/>
    <w:rsid w:val="005A3DD1"/>
    <w:rsid w:val="005A5B07"/>
    <w:rsid w:val="005B1174"/>
    <w:rsid w:val="005D1AD3"/>
    <w:rsid w:val="005D431C"/>
    <w:rsid w:val="005E363C"/>
    <w:rsid w:val="005F0E52"/>
    <w:rsid w:val="00602597"/>
    <w:rsid w:val="00663892"/>
    <w:rsid w:val="006822AE"/>
    <w:rsid w:val="00684E9F"/>
    <w:rsid w:val="006D108A"/>
    <w:rsid w:val="006D7231"/>
    <w:rsid w:val="006F605F"/>
    <w:rsid w:val="0070042E"/>
    <w:rsid w:val="00700604"/>
    <w:rsid w:val="00701EDA"/>
    <w:rsid w:val="007253AC"/>
    <w:rsid w:val="00732372"/>
    <w:rsid w:val="00737F40"/>
    <w:rsid w:val="007400FF"/>
    <w:rsid w:val="0075656E"/>
    <w:rsid w:val="00781378"/>
    <w:rsid w:val="00785189"/>
    <w:rsid w:val="007C2A47"/>
    <w:rsid w:val="007D6F90"/>
    <w:rsid w:val="007F11FA"/>
    <w:rsid w:val="007F608C"/>
    <w:rsid w:val="008021D5"/>
    <w:rsid w:val="008101E7"/>
    <w:rsid w:val="00817FD0"/>
    <w:rsid w:val="00823238"/>
    <w:rsid w:val="00831F7C"/>
    <w:rsid w:val="0083235D"/>
    <w:rsid w:val="00834D6C"/>
    <w:rsid w:val="00837800"/>
    <w:rsid w:val="008445D4"/>
    <w:rsid w:val="00851005"/>
    <w:rsid w:val="0087043F"/>
    <w:rsid w:val="008749BC"/>
    <w:rsid w:val="00877B4B"/>
    <w:rsid w:val="00880480"/>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3BAB"/>
    <w:rsid w:val="00984C14"/>
    <w:rsid w:val="00986961"/>
    <w:rsid w:val="00995554"/>
    <w:rsid w:val="009B3100"/>
    <w:rsid w:val="009D0FE7"/>
    <w:rsid w:val="009F4153"/>
    <w:rsid w:val="00A001F3"/>
    <w:rsid w:val="00A276C5"/>
    <w:rsid w:val="00A4148F"/>
    <w:rsid w:val="00A448E9"/>
    <w:rsid w:val="00A53108"/>
    <w:rsid w:val="00A70A13"/>
    <w:rsid w:val="00A70A57"/>
    <w:rsid w:val="00A81DE6"/>
    <w:rsid w:val="00AA1208"/>
    <w:rsid w:val="00AA1D64"/>
    <w:rsid w:val="00AB7064"/>
    <w:rsid w:val="00AC49D4"/>
    <w:rsid w:val="00AD3BBC"/>
    <w:rsid w:val="00AD4C2A"/>
    <w:rsid w:val="00AD6C5A"/>
    <w:rsid w:val="00AE02F4"/>
    <w:rsid w:val="00AE364D"/>
    <w:rsid w:val="00AE3E47"/>
    <w:rsid w:val="00AF2E87"/>
    <w:rsid w:val="00B01FA6"/>
    <w:rsid w:val="00B23B90"/>
    <w:rsid w:val="00B24E6C"/>
    <w:rsid w:val="00B4029A"/>
    <w:rsid w:val="00B51052"/>
    <w:rsid w:val="00B53ADD"/>
    <w:rsid w:val="00B63DC8"/>
    <w:rsid w:val="00B83A23"/>
    <w:rsid w:val="00BA2C02"/>
    <w:rsid w:val="00BB1B54"/>
    <w:rsid w:val="00C179E1"/>
    <w:rsid w:val="00C352AB"/>
    <w:rsid w:val="00C52486"/>
    <w:rsid w:val="00C57B6D"/>
    <w:rsid w:val="00C71AE5"/>
    <w:rsid w:val="00C759E8"/>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9567B"/>
    <w:rsid w:val="00DA5511"/>
    <w:rsid w:val="00DB5FC8"/>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D760C"/>
    <w:rsid w:val="00EF55C3"/>
    <w:rsid w:val="00F01C9E"/>
    <w:rsid w:val="00F0306B"/>
    <w:rsid w:val="00F04098"/>
    <w:rsid w:val="00F1048D"/>
    <w:rsid w:val="00F21255"/>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0107B2"/>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02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4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C41712E9-1B70-4136-A6DB-824448149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71C10-836B-4C13-BD31-CDF3586C9A8F}">
  <ds:schemaRefs>
    <ds:schemaRef ds:uri="http://schemas.microsoft.com/sharepoint/v3/contenttype/forms"/>
  </ds:schemaRefs>
</ds:datastoreItem>
</file>

<file path=customXml/itemProps3.xml><?xml version="1.0" encoding="utf-8"?>
<ds:datastoreItem xmlns:ds="http://schemas.openxmlformats.org/officeDocument/2006/customXml" ds:itemID="{F71720C2-7425-4070-93E7-3AF5195C7E77}">
  <ds:schemaRefs>
    <ds:schemaRef ds:uri="http://purl.org/dc/elements/1.1/"/>
    <ds:schemaRef ds:uri="http://schemas.microsoft.com/office/infopath/2007/PartnerControls"/>
    <ds:schemaRef ds:uri="http://purl.org/dc/terms/"/>
    <ds:schemaRef ds:uri="http://www.w3.org/XML/1998/namespace"/>
    <ds:schemaRef ds:uri="http://purl.org/dc/dcmitype/"/>
    <ds:schemaRef ds:uri="http://schemas.microsoft.com/office/2006/metadata/properties"/>
    <ds:schemaRef ds:uri="6bfde61a-94c1-42db-b4d1-79e5b3c6adc0"/>
    <ds:schemaRef ds:uri="http://schemas.microsoft.com/office/2006/documentManagement/types"/>
    <ds:schemaRef ds:uri="http://schemas.openxmlformats.org/package/2006/metadata/core-properties"/>
    <ds:schemaRef ds:uri="041c5daf-9d3a-4e9a-b660-f4ef0b4e5805"/>
    <ds:schemaRef ds:uri="58825e9e-cc90-40c0-979d-f0866661941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16.3 - Short-Term Housing Services</dc:title>
  <dc:subject/>
  <dc:creator>TWC-VR</dc:creator>
  <cp:keywords>Texas Workforce Commission Vocational Rehabilitation Services Manual (VRSM) policy</cp:keywords>
  <dc:description/>
  <cp:lastModifiedBy>Martin-Hudson,Bonnie</cp:lastModifiedBy>
  <cp:revision>10</cp:revision>
  <dcterms:created xsi:type="dcterms:W3CDTF">2024-07-24T18:52:00Z</dcterms:created>
  <dcterms:modified xsi:type="dcterms:W3CDTF">2024-08-14T19:31:00Z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