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503F01E8" w:rsidR="002A345C" w:rsidRDefault="00DD271C" w:rsidP="00537CCB">
      <w:pPr>
        <w:pStyle w:val="Heading1"/>
      </w:pPr>
      <w:r w:rsidRPr="00537CCB">
        <w:t xml:space="preserve">PART C, CHAPTER 16.2: </w:t>
      </w:r>
      <w:r>
        <w:t>MAINTENANCE SERVICES</w:t>
      </w:r>
    </w:p>
    <w:tbl>
      <w:tblPr>
        <w:tblW w:w="9534" w:type="dxa"/>
        <w:tblLook w:val="04A0" w:firstRow="1" w:lastRow="0" w:firstColumn="1" w:lastColumn="0" w:noHBand="0" w:noVBand="1"/>
      </w:tblPr>
      <w:tblGrid>
        <w:gridCol w:w="1742"/>
        <w:gridCol w:w="5134"/>
        <w:gridCol w:w="1441"/>
        <w:gridCol w:w="1217"/>
      </w:tblGrid>
      <w:tr w:rsidR="008B24DB" w:rsidRPr="008B24DB" w14:paraId="744CFDEA" w14:textId="77777777" w:rsidTr="000638BA">
        <w:trPr>
          <w:trHeight w:val="315"/>
        </w:trPr>
        <w:tc>
          <w:tcPr>
            <w:tcW w:w="174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5F3F5B6" w14:textId="77777777" w:rsidR="008B24DB" w:rsidRPr="008B24DB" w:rsidRDefault="008B24DB" w:rsidP="008B24DB">
            <w:pPr>
              <w:spacing w:before="0" w:after="0" w:line="240" w:lineRule="auto"/>
              <w:rPr>
                <w:rFonts w:eastAsia="Times New Roman"/>
                <w:b/>
                <w:bCs/>
                <w:color w:val="000000"/>
                <w:kern w:val="0"/>
                <w14:ligatures w14:val="none"/>
              </w:rPr>
            </w:pPr>
            <w:r w:rsidRPr="008B24DB">
              <w:rPr>
                <w:rFonts w:eastAsia="Times New Roman"/>
                <w:b/>
                <w:bCs/>
                <w:color w:val="000000"/>
                <w:kern w:val="0"/>
                <w:lang w:val="en" w:eastAsia="ja-JP"/>
                <w14:ligatures w14:val="none"/>
              </w:rPr>
              <w:t>Policy Number</w:t>
            </w:r>
          </w:p>
        </w:tc>
        <w:tc>
          <w:tcPr>
            <w:tcW w:w="5134" w:type="dxa"/>
            <w:tcBorders>
              <w:top w:val="single" w:sz="4" w:space="0" w:color="auto"/>
              <w:left w:val="nil"/>
              <w:bottom w:val="single" w:sz="4" w:space="0" w:color="auto"/>
              <w:right w:val="single" w:sz="4" w:space="0" w:color="auto"/>
            </w:tcBorders>
            <w:shd w:val="clear" w:color="000000" w:fill="F0F4FA"/>
            <w:noWrap/>
            <w:vAlign w:val="bottom"/>
            <w:hideMark/>
          </w:tcPr>
          <w:p w14:paraId="5B2634BC" w14:textId="77777777" w:rsidR="008B24DB" w:rsidRPr="008B24DB" w:rsidRDefault="008B24DB" w:rsidP="008B24DB">
            <w:pPr>
              <w:spacing w:before="0" w:after="0" w:line="240" w:lineRule="auto"/>
              <w:rPr>
                <w:rFonts w:eastAsia="Times New Roman"/>
                <w:b/>
                <w:bCs/>
                <w:color w:val="000000"/>
                <w:kern w:val="0"/>
                <w14:ligatures w14:val="none"/>
              </w:rPr>
            </w:pPr>
            <w:r w:rsidRPr="008B24DB">
              <w:rPr>
                <w:rFonts w:eastAsia="Times New Roman"/>
                <w:b/>
                <w:bCs/>
                <w:color w:val="000000"/>
                <w:kern w:val="0"/>
                <w:lang w:val="en" w:eastAsia="ja-JP"/>
                <w14:ligatures w14:val="none"/>
              </w:rPr>
              <w:t>Authority</w:t>
            </w:r>
          </w:p>
        </w:tc>
        <w:tc>
          <w:tcPr>
            <w:tcW w:w="1441" w:type="dxa"/>
            <w:tcBorders>
              <w:top w:val="single" w:sz="4" w:space="0" w:color="auto"/>
              <w:left w:val="nil"/>
              <w:bottom w:val="single" w:sz="4" w:space="0" w:color="auto"/>
              <w:right w:val="single" w:sz="4" w:space="0" w:color="auto"/>
            </w:tcBorders>
            <w:shd w:val="clear" w:color="000000" w:fill="F0F4FA"/>
            <w:noWrap/>
            <w:vAlign w:val="bottom"/>
            <w:hideMark/>
          </w:tcPr>
          <w:p w14:paraId="63C20688" w14:textId="77777777" w:rsidR="008B24DB" w:rsidRPr="008B24DB" w:rsidRDefault="008B24DB" w:rsidP="008B24DB">
            <w:pPr>
              <w:spacing w:before="0" w:after="0" w:line="240" w:lineRule="auto"/>
              <w:rPr>
                <w:rFonts w:eastAsia="Times New Roman"/>
                <w:b/>
                <w:bCs/>
                <w:color w:val="000000"/>
                <w:kern w:val="0"/>
                <w14:ligatures w14:val="none"/>
              </w:rPr>
            </w:pPr>
            <w:r w:rsidRPr="008B24DB">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5818160" w14:textId="77777777" w:rsidR="008B24DB" w:rsidRPr="008B24DB" w:rsidRDefault="008B24DB" w:rsidP="008B24DB">
            <w:pPr>
              <w:spacing w:before="0" w:after="0" w:line="240" w:lineRule="auto"/>
              <w:rPr>
                <w:rFonts w:eastAsia="Times New Roman"/>
                <w:b/>
                <w:bCs/>
                <w:color w:val="000000"/>
                <w:kern w:val="0"/>
                <w14:ligatures w14:val="none"/>
              </w:rPr>
            </w:pPr>
            <w:r w:rsidRPr="008B24DB">
              <w:rPr>
                <w:rFonts w:eastAsia="Times New Roman"/>
                <w:b/>
                <w:bCs/>
                <w:color w:val="000000"/>
                <w:kern w:val="0"/>
                <w:lang w:val="en" w:eastAsia="ja-JP"/>
                <w14:ligatures w14:val="none"/>
              </w:rPr>
              <w:t>Effective Date</w:t>
            </w:r>
          </w:p>
        </w:tc>
      </w:tr>
      <w:tr w:rsidR="000638BA" w:rsidRPr="008B24DB" w14:paraId="301A8156" w14:textId="77777777" w:rsidTr="000638BA">
        <w:trPr>
          <w:trHeight w:val="300"/>
        </w:trPr>
        <w:tc>
          <w:tcPr>
            <w:tcW w:w="1742" w:type="dxa"/>
            <w:tcBorders>
              <w:top w:val="nil"/>
              <w:left w:val="single" w:sz="4" w:space="0" w:color="auto"/>
              <w:bottom w:val="single" w:sz="4" w:space="0" w:color="auto"/>
              <w:right w:val="single" w:sz="4" w:space="0" w:color="auto"/>
            </w:tcBorders>
            <w:shd w:val="clear" w:color="auto" w:fill="auto"/>
            <w:noWrap/>
            <w:vAlign w:val="bottom"/>
            <w:hideMark/>
          </w:tcPr>
          <w:p w14:paraId="48B5E322" w14:textId="77777777" w:rsidR="000638BA" w:rsidRPr="008B24DB" w:rsidRDefault="000638BA" w:rsidP="000638BA">
            <w:pPr>
              <w:spacing w:before="0" w:after="0" w:line="240" w:lineRule="auto"/>
              <w:rPr>
                <w:rFonts w:eastAsia="Times New Roman"/>
                <w:color w:val="000000"/>
                <w:kern w:val="0"/>
                <w14:ligatures w14:val="none"/>
              </w:rPr>
            </w:pPr>
            <w:r w:rsidRPr="008B24DB">
              <w:rPr>
                <w:rFonts w:eastAsia="Times New Roman"/>
                <w:color w:val="000000"/>
                <w:kern w:val="0"/>
                <w:lang w:val="en" w:eastAsia="ja-JP"/>
                <w14:ligatures w14:val="none"/>
              </w:rPr>
              <w:t>Part C, Chapter 16.2</w:t>
            </w:r>
          </w:p>
        </w:tc>
        <w:tc>
          <w:tcPr>
            <w:tcW w:w="5134" w:type="dxa"/>
            <w:tcBorders>
              <w:top w:val="nil"/>
              <w:left w:val="nil"/>
              <w:bottom w:val="single" w:sz="4" w:space="0" w:color="auto"/>
              <w:right w:val="single" w:sz="4" w:space="0" w:color="auto"/>
            </w:tcBorders>
            <w:shd w:val="clear" w:color="auto" w:fill="auto"/>
            <w:noWrap/>
            <w:vAlign w:val="center"/>
            <w:hideMark/>
          </w:tcPr>
          <w:p w14:paraId="04D76333" w14:textId="38AA7A66" w:rsidR="000638BA" w:rsidRPr="008B24DB" w:rsidRDefault="000638BA" w:rsidP="000638BA">
            <w:pPr>
              <w:spacing w:before="0" w:after="0" w:line="240" w:lineRule="auto"/>
              <w:rPr>
                <w:rFonts w:eastAsia="Times New Roman"/>
                <w:color w:val="000000"/>
                <w:kern w:val="0"/>
                <w14:ligatures w14:val="none"/>
              </w:rPr>
            </w:pPr>
            <w:r w:rsidRPr="00DD271C">
              <w:rPr>
                <w:lang w:val="en"/>
              </w:rPr>
              <w:t xml:space="preserve">34 CFR </w:t>
            </w:r>
            <w:hyperlink r:id="rId10" w:anchor="p-361.5(c)(34)" w:history="1">
              <w:r w:rsidRPr="00DD271C">
                <w:rPr>
                  <w:rStyle w:val="Hyperlink"/>
                  <w:lang w:val="en"/>
                </w:rPr>
                <w:t>§361.5(c)(34)</w:t>
              </w:r>
            </w:hyperlink>
            <w:r w:rsidRPr="00DD271C">
              <w:rPr>
                <w:lang w:val="en"/>
              </w:rPr>
              <w:t xml:space="preserve">, </w:t>
            </w:r>
            <w:hyperlink r:id="rId11" w:anchor="p-361.48(b)(7)" w:history="1">
              <w:r w:rsidRPr="00DD271C">
                <w:rPr>
                  <w:rStyle w:val="Hyperlink"/>
                  <w:lang w:val="en"/>
                </w:rPr>
                <w:t>§361.48(b)(7)</w:t>
              </w:r>
            </w:hyperlink>
            <w:r w:rsidRPr="00DD271C">
              <w:rPr>
                <w:lang w:val="en"/>
              </w:rPr>
              <w:t xml:space="preserve">, </w:t>
            </w:r>
            <w:r>
              <w:rPr>
                <w:lang w:val="en"/>
              </w:rPr>
              <w:t xml:space="preserve">and </w:t>
            </w:r>
            <w:r w:rsidRPr="00DD271C">
              <w:rPr>
                <w:lang w:val="en"/>
              </w:rPr>
              <w:t xml:space="preserve">TWC Rule </w:t>
            </w:r>
            <w:hyperlink r:id="rId12" w:history="1">
              <w:r w:rsidRPr="00DD271C">
                <w:rPr>
                  <w:rStyle w:val="Hyperlink"/>
                  <w:lang w:val="en"/>
                </w:rPr>
                <w:t>§856.46</w:t>
              </w:r>
            </w:hyperlink>
          </w:p>
        </w:tc>
        <w:tc>
          <w:tcPr>
            <w:tcW w:w="1441" w:type="dxa"/>
            <w:tcBorders>
              <w:top w:val="nil"/>
              <w:left w:val="nil"/>
              <w:bottom w:val="single" w:sz="4" w:space="0" w:color="auto"/>
              <w:right w:val="single" w:sz="4" w:space="0" w:color="auto"/>
            </w:tcBorders>
            <w:shd w:val="clear" w:color="auto" w:fill="auto"/>
            <w:noWrap/>
            <w:vAlign w:val="bottom"/>
            <w:hideMark/>
          </w:tcPr>
          <w:p w14:paraId="560558D1" w14:textId="77777777" w:rsidR="000638BA" w:rsidRPr="008B24DB" w:rsidRDefault="000638BA" w:rsidP="000638BA">
            <w:pPr>
              <w:spacing w:before="0" w:after="0" w:line="240" w:lineRule="auto"/>
              <w:rPr>
                <w:rFonts w:eastAsia="Times New Roman"/>
                <w:color w:val="000000"/>
                <w:kern w:val="0"/>
                <w14:ligatures w14:val="none"/>
              </w:rPr>
            </w:pPr>
            <w:r w:rsidRPr="008B24DB">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262D3A18" w14:textId="77777777" w:rsidR="000638BA" w:rsidRPr="008B24DB" w:rsidRDefault="000638BA" w:rsidP="000638BA">
            <w:pPr>
              <w:spacing w:before="0" w:after="0" w:line="240" w:lineRule="auto"/>
              <w:jc w:val="right"/>
              <w:rPr>
                <w:rFonts w:eastAsia="Times New Roman"/>
                <w:color w:val="000000"/>
                <w:kern w:val="0"/>
                <w14:ligatures w14:val="none"/>
              </w:rPr>
            </w:pPr>
            <w:r w:rsidRPr="008B24DB">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109BEF1" w14:textId="77777777" w:rsidR="00DD271C" w:rsidRPr="00DC5EBA" w:rsidRDefault="00DD271C" w:rsidP="00DD271C">
      <w:pPr>
        <w:spacing w:after="240"/>
      </w:pPr>
      <w:r w:rsidRPr="00DC5EBA">
        <w:t xml:space="preserve">Specifically, the purpose of this policy and these procedures is to ensure adherence to </w:t>
      </w:r>
      <w:r>
        <w:t>the provision of maintenance services (payments to customers) when necessitated by their participation in TWC-VR services.</w:t>
      </w:r>
      <w:r w:rsidRPr="00DC5EBA">
        <w:t xml:space="preserve"> </w:t>
      </w:r>
    </w:p>
    <w:p w14:paraId="077D4BD0" w14:textId="0E0D9B4E" w:rsidR="00F04098" w:rsidRDefault="00A001F3" w:rsidP="0033181C">
      <w:pPr>
        <w:pStyle w:val="Heading2"/>
      </w:pPr>
      <w:r>
        <w:t>DEFINITIONS</w:t>
      </w:r>
    </w:p>
    <w:p w14:paraId="062EC808" w14:textId="77777777" w:rsidR="00DD271C" w:rsidRDefault="00DD271C" w:rsidP="00DD271C">
      <w:r w:rsidRPr="003503DE">
        <w:rPr>
          <w:u w:val="single"/>
        </w:rPr>
        <w:t>Normal Living Expenses</w:t>
      </w:r>
      <w:r>
        <w:t>: I</w:t>
      </w:r>
      <w:r w:rsidRPr="00FD789A">
        <w:t xml:space="preserve">tems </w:t>
      </w:r>
      <w:r>
        <w:t xml:space="preserve">such </w:t>
      </w:r>
      <w:r w:rsidRPr="00FD789A">
        <w:t>as housing, food, clothing, and transportation, and whatever additional expenses would be considered necessary to those broad categories (not directly associated with the receipt of VR services), such as utility costs and vehicle insurance.</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4236020" w14:textId="77777777" w:rsidR="00DD271C" w:rsidRPr="00C31F4A" w:rsidRDefault="00DD271C" w:rsidP="00DD271C">
      <w:r w:rsidRPr="00C31F4A">
        <w:t>Maintenance services are when TWC-VR provides monetary support to a customer for expenses</w:t>
      </w:r>
      <w:r>
        <w:t xml:space="preserve"> (e.g., </w:t>
      </w:r>
      <w:r w:rsidRPr="00C31F4A">
        <w:t>food, shelter, clothing</w:t>
      </w:r>
      <w:r>
        <w:t>)</w:t>
      </w:r>
      <w:r w:rsidRPr="00C31F4A">
        <w:t xml:space="preserve"> that are in excess of their normal living expenses necessitated by their participation in an assessment for determining eligibility</w:t>
      </w:r>
      <w:r>
        <w:t xml:space="preserve">, scope of </w:t>
      </w:r>
      <w:r w:rsidRPr="00C31F4A">
        <w:t>VR needs and the receipt of TWC-VR services under an Individualized Plan for Employment (IPE).</w:t>
      </w:r>
    </w:p>
    <w:p w14:paraId="5C2B5A9B" w14:textId="77777777" w:rsidR="00DD271C" w:rsidRPr="00DD271C" w:rsidRDefault="00DD271C" w:rsidP="00DD271C">
      <w:r w:rsidRPr="00DD271C">
        <w:t xml:space="preserve">Maintenance services can be provided under one or more categories: </w:t>
      </w:r>
    </w:p>
    <w:p w14:paraId="063FC1E1" w14:textId="77777777" w:rsidR="00DD271C" w:rsidRPr="00DD271C" w:rsidRDefault="00DD271C" w:rsidP="00DD271C">
      <w:pPr>
        <w:pStyle w:val="ListBulleted"/>
      </w:pPr>
      <w:r w:rsidRPr="00DD271C">
        <w:t>Recurring maintenance;</w:t>
      </w:r>
    </w:p>
    <w:p w14:paraId="56FD98D9" w14:textId="77777777" w:rsidR="00DD271C" w:rsidRPr="00DD271C" w:rsidRDefault="00DD271C" w:rsidP="00DD271C">
      <w:pPr>
        <w:pStyle w:val="ListBulleted"/>
      </w:pPr>
      <w:r w:rsidRPr="00DD271C">
        <w:t>Nonrecurring maintenance; and/or</w:t>
      </w:r>
    </w:p>
    <w:p w14:paraId="59DD9AF1" w14:textId="77777777" w:rsidR="00DD271C" w:rsidRPr="00DD271C" w:rsidRDefault="00DD271C" w:rsidP="00DD271C">
      <w:pPr>
        <w:pStyle w:val="ListBulleted"/>
      </w:pPr>
      <w:r w:rsidRPr="00DD271C">
        <w:t>Short-term housing maintenance.</w:t>
      </w:r>
    </w:p>
    <w:p w14:paraId="301C9FAF" w14:textId="77777777" w:rsidR="00DD271C" w:rsidRDefault="00DD271C" w:rsidP="00DD271C">
      <w:pPr>
        <w:pStyle w:val="Heading3"/>
      </w:pPr>
      <w:r w:rsidRPr="00DD271C">
        <w:lastRenderedPageBreak/>
        <w:t>Restrictions</w:t>
      </w:r>
    </w:p>
    <w:p w14:paraId="258DEEC9" w14:textId="5540C043" w:rsidR="00DD271C" w:rsidRPr="00DD271C" w:rsidRDefault="00DD271C" w:rsidP="00DD271C">
      <w:r w:rsidRPr="00DD271C">
        <w:t xml:space="preserve">Maintenance services are not used to provide the following services— </w:t>
      </w:r>
    </w:p>
    <w:p w14:paraId="510E69B0" w14:textId="77777777" w:rsidR="00DD271C" w:rsidRPr="00DD271C" w:rsidRDefault="00DD271C" w:rsidP="00DD271C">
      <w:pPr>
        <w:pStyle w:val="ListBulleted"/>
      </w:pPr>
      <w:r w:rsidRPr="00DD271C">
        <w:t>Tuition or fees;</w:t>
      </w:r>
    </w:p>
    <w:p w14:paraId="30F96885" w14:textId="77777777" w:rsidR="00DD271C" w:rsidRPr="00DD271C" w:rsidRDefault="00DD271C" w:rsidP="00DD271C">
      <w:pPr>
        <w:pStyle w:val="ListBulleted"/>
      </w:pPr>
      <w:r w:rsidRPr="00DD271C">
        <w:t>Compensation for an on-the-job training program;</w:t>
      </w:r>
    </w:p>
    <w:p w14:paraId="6B2B7926" w14:textId="77777777" w:rsidR="00DD271C" w:rsidRPr="00DD271C" w:rsidRDefault="00DD271C" w:rsidP="00DD271C">
      <w:pPr>
        <w:pStyle w:val="ListBulleted"/>
      </w:pPr>
      <w:r w:rsidRPr="00DD271C">
        <w:t>Goods and services that are under contract;</w:t>
      </w:r>
    </w:p>
    <w:p w14:paraId="7DD3A7E7" w14:textId="77777777" w:rsidR="00DD271C" w:rsidRPr="00DD271C" w:rsidRDefault="00DD271C" w:rsidP="00DD271C">
      <w:pPr>
        <w:pStyle w:val="ListBulleted"/>
      </w:pPr>
      <w:r w:rsidRPr="00DD271C">
        <w:t>Mortgage payments, usual and customary rent for housing, and any associated fees or expenses; and</w:t>
      </w:r>
    </w:p>
    <w:p w14:paraId="3BDD47EC" w14:textId="77777777" w:rsidR="00DD271C" w:rsidRDefault="00DD271C" w:rsidP="00DD271C">
      <w:pPr>
        <w:pStyle w:val="ListBulleted"/>
      </w:pPr>
      <w:r w:rsidRPr="00DD271C">
        <w:t>Reimbursements.</w:t>
      </w:r>
    </w:p>
    <w:p w14:paraId="3FCFDFC6" w14:textId="77777777" w:rsidR="00DD271C" w:rsidRDefault="00DD271C" w:rsidP="00DD271C">
      <w:pPr>
        <w:ind w:left="144"/>
      </w:pPr>
      <w:r w:rsidRPr="00C31F4A">
        <w:t xml:space="preserve">As described throughout the VRSM, </w:t>
      </w:r>
      <w:r>
        <w:t xml:space="preserve">some </w:t>
      </w:r>
      <w:r w:rsidRPr="00C31F4A">
        <w:t xml:space="preserve">exceptions may be granted with approval from TWC-VR’s Deputy Division Director of Field Services Delivery. TWC-VR staff are required to follow the policies and procedures outlined in </w:t>
      </w:r>
      <w:r>
        <w:t>each respective chapter</w:t>
      </w:r>
      <w:r w:rsidRPr="00FE1EA8">
        <w:t xml:space="preserve"> of the VRSM</w:t>
      </w:r>
      <w:r w:rsidRPr="00C31F4A">
        <w:t xml:space="preserve"> for the provision of these restricted services.</w:t>
      </w:r>
    </w:p>
    <w:p w14:paraId="24C8870C" w14:textId="77777777" w:rsidR="00DD271C" w:rsidRDefault="00DD271C" w:rsidP="00DD271C">
      <w:pPr>
        <w:ind w:left="144"/>
      </w:pPr>
      <w:r w:rsidRPr="00E9342C">
        <w:t>Maintenance cannot be used for costs directly associated with transportation, such as mileage or driver services.</w:t>
      </w:r>
    </w:p>
    <w:p w14:paraId="3BF1A237" w14:textId="0ADC65CE" w:rsidR="00DD271C" w:rsidRPr="00430EC2" w:rsidRDefault="00DD271C" w:rsidP="00DD271C">
      <w:pPr>
        <w:pStyle w:val="Heading3"/>
      </w:pPr>
      <w:bookmarkStart w:id="0" w:name="_Hlk166453657"/>
      <w:r w:rsidRPr="00430EC2">
        <w:t>Additional Policy Considerations</w:t>
      </w:r>
    </w:p>
    <w:p w14:paraId="3FE8DD11" w14:textId="77777777" w:rsidR="00DD271C" w:rsidRPr="002930E4" w:rsidRDefault="00DD271C" w:rsidP="00DD271C">
      <w:pPr>
        <w:pStyle w:val="ListBulleted"/>
      </w:pPr>
      <w:bookmarkStart w:id="1" w:name="_Hlk169821941"/>
      <w:bookmarkStart w:id="2" w:name="_Hlk170179930"/>
      <w:bookmarkEnd w:id="0"/>
      <w:r w:rsidRPr="002930E4">
        <w:rPr>
          <w:u w:val="single"/>
        </w:rPr>
        <w:t>Comparable Services and Benefits</w:t>
      </w:r>
      <w:r w:rsidRPr="002930E4">
        <w:t xml:space="preserve">: </w:t>
      </w:r>
      <w:bookmarkStart w:id="3" w:name="_Hlk170398290"/>
      <w:r w:rsidRPr="002930E4">
        <w:t xml:space="preserve">TWC-VR must not expend funds on </w:t>
      </w:r>
      <w:r>
        <w:t>maintenance</w:t>
      </w:r>
      <w:r w:rsidRPr="002930E4">
        <w:t xml:space="preserve"> </w:t>
      </w:r>
      <w:bookmarkStart w:id="4" w:name="_Hlk170399608"/>
      <w:r w:rsidRPr="002930E4">
        <w:t>services</w:t>
      </w:r>
      <w:bookmarkStart w:id="5" w:name="_Hlk169819439"/>
      <w:r w:rsidRPr="002930E4">
        <w:t xml:space="preserve"> unless the </w:t>
      </w:r>
      <w:r>
        <w:t>VR Counselor</w:t>
      </w:r>
      <w:r w:rsidRPr="002930E4">
        <w:t xml:space="preserve"> and the customer have made maximum efforts to secure comparable services and benefits from other sources to pay for services.</w:t>
      </w:r>
      <w:bookmarkEnd w:id="3"/>
      <w:bookmarkEnd w:id="4"/>
      <w:bookmarkEnd w:id="5"/>
    </w:p>
    <w:p w14:paraId="63759AC8" w14:textId="77777777" w:rsidR="00DD271C" w:rsidRPr="002930E4" w:rsidRDefault="00DD271C" w:rsidP="00DD271C">
      <w:pPr>
        <w:pStyle w:val="ListBulleted"/>
      </w:pPr>
      <w:bookmarkStart w:id="6" w:name="_Hlk170399640"/>
      <w:r w:rsidRPr="002930E4">
        <w:rPr>
          <w:u w:val="single"/>
        </w:rPr>
        <w:t>Customer Participation in the Cost of Services</w:t>
      </w:r>
      <w:r w:rsidRPr="002930E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31BFE10B" w14:textId="77777777" w:rsidR="00DD271C" w:rsidRPr="002930E4" w:rsidRDefault="00DD271C" w:rsidP="00DD271C">
      <w:pPr>
        <w:pStyle w:val="ListBulleted"/>
      </w:pPr>
      <w:bookmarkStart w:id="7" w:name="_Hlk169817564"/>
      <w:bookmarkEnd w:id="1"/>
      <w:r w:rsidRPr="002930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0EE9F104" w14:textId="1AC6E158" w:rsidR="00DD271C" w:rsidRPr="00DD271C" w:rsidRDefault="00DD271C" w:rsidP="00DD271C">
      <w:pPr>
        <w:pStyle w:val="ListBulleted"/>
      </w:pPr>
      <w:bookmarkStart w:id="8" w:name="_Hlk162890515"/>
      <w:r w:rsidRPr="002930E4">
        <w:rPr>
          <w:u w:val="single"/>
        </w:rPr>
        <w:t>Exceptions to Policy</w:t>
      </w:r>
      <w:r w:rsidRPr="002930E4">
        <w:t xml:space="preserve">: </w:t>
      </w:r>
      <w:bookmarkStart w:id="9" w:name="_Hlk170177184"/>
      <w:r w:rsidRPr="002930E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
      <w:bookmarkEnd w:id="6"/>
      <w:bookmarkEnd w:id="7"/>
      <w:bookmarkEnd w:id="8"/>
      <w:bookmarkEnd w:id="9"/>
    </w:p>
    <w:p w14:paraId="11E48025" w14:textId="511E42FF" w:rsidR="00934027" w:rsidRDefault="00145D80" w:rsidP="00CF06B7">
      <w:pPr>
        <w:pStyle w:val="Heading2"/>
      </w:pPr>
      <w:r>
        <w:lastRenderedPageBreak/>
        <w:t>PROCEDURES</w:t>
      </w:r>
    </w:p>
    <w:p w14:paraId="3BF5E84A" w14:textId="19C2EFD2" w:rsidR="000538A8" w:rsidRDefault="00DD271C" w:rsidP="00896AC1">
      <w:pPr>
        <w:pStyle w:val="Heading3"/>
        <w:numPr>
          <w:ilvl w:val="0"/>
          <w:numId w:val="37"/>
        </w:numPr>
      </w:pPr>
      <w:r w:rsidRPr="00841C78">
        <w:t>Determination of Need</w:t>
      </w:r>
    </w:p>
    <w:p w14:paraId="306B3FA8" w14:textId="71476C49" w:rsidR="00DD271C" w:rsidRPr="00CE25BD" w:rsidRDefault="00DD271C" w:rsidP="00DD271C">
      <w:r w:rsidRPr="00841C78">
        <w:t xml:space="preserve">The </w:t>
      </w:r>
      <w:r>
        <w:t>VR Counselor</w:t>
      </w:r>
      <w:r w:rsidRPr="00841C78">
        <w:t xml:space="preserve"> must</w:t>
      </w:r>
      <w:r w:rsidRPr="00CE25BD">
        <w:t xml:space="preserve"> clearly document the need for maintenance services in the case record. These services must be necessary and reasonable under the </w:t>
      </w:r>
      <w:r>
        <w:t xml:space="preserve">customer's </w:t>
      </w:r>
      <w:r w:rsidRPr="00CE25BD">
        <w:t>circumstances at the time a decision is made.</w:t>
      </w:r>
    </w:p>
    <w:p w14:paraId="1D75E0F5" w14:textId="77777777" w:rsidR="00DD271C" w:rsidRPr="00CE25BD" w:rsidRDefault="00DD271C" w:rsidP="00DD271C">
      <w:r w:rsidRPr="00CE25BD">
        <w:t>Decision-making factors include, but are not limited to, the following—</w:t>
      </w:r>
    </w:p>
    <w:p w14:paraId="4E43D113" w14:textId="77777777" w:rsidR="00DD271C" w:rsidRPr="00CE25BD" w:rsidRDefault="00DD271C" w:rsidP="00DD271C">
      <w:pPr>
        <w:pStyle w:val="ListBulleted"/>
      </w:pPr>
      <w:r>
        <w:t>I</w:t>
      </w:r>
      <w:r w:rsidRPr="00CE25BD">
        <w:t>ndividual rehabilitation needs consistent with the customer</w:t>
      </w:r>
      <w:r>
        <w:t>'</w:t>
      </w:r>
      <w:r w:rsidRPr="00CE25BD">
        <w:t>s informed choice;</w:t>
      </w:r>
    </w:p>
    <w:p w14:paraId="1AB896FA" w14:textId="77777777" w:rsidR="00DD271C" w:rsidRPr="00CE25BD" w:rsidRDefault="00DD271C" w:rsidP="00DD271C">
      <w:pPr>
        <w:pStyle w:val="ListBulleted"/>
      </w:pPr>
      <w:r>
        <w:t>M</w:t>
      </w:r>
      <w:r w:rsidRPr="00CE25BD">
        <w:t>arket rates;</w:t>
      </w:r>
    </w:p>
    <w:p w14:paraId="3684BCD4" w14:textId="77777777" w:rsidR="00DD271C" w:rsidRPr="00CE25BD" w:rsidRDefault="00DD271C" w:rsidP="00DD271C">
      <w:pPr>
        <w:pStyle w:val="ListBulleted"/>
      </w:pPr>
      <w:r>
        <w:t>A</w:t>
      </w:r>
      <w:r w:rsidRPr="00CE25BD">
        <w:t>vailability of cost-effective alternatives; and</w:t>
      </w:r>
    </w:p>
    <w:p w14:paraId="1D4CD9D9" w14:textId="77777777" w:rsidR="00DD271C" w:rsidRPr="00CE25BD" w:rsidRDefault="00DD271C" w:rsidP="00DD271C">
      <w:pPr>
        <w:pStyle w:val="ListBulleted"/>
      </w:pPr>
      <w:r>
        <w:t>A</w:t>
      </w:r>
      <w:r w:rsidRPr="00CE25BD">
        <w:t xml:space="preserve">ll other established policies and procedures, including policies and procedures for customer participation in </w:t>
      </w:r>
      <w:r>
        <w:t xml:space="preserve">the </w:t>
      </w:r>
      <w:r w:rsidRPr="00CE25BD">
        <w:t>cost of services, also known as basic living requirements (BLR).</w:t>
      </w:r>
    </w:p>
    <w:p w14:paraId="28D194D8" w14:textId="77777777" w:rsidR="00DD271C" w:rsidRPr="00DD271C" w:rsidRDefault="00DD271C" w:rsidP="00DD271C">
      <w:pPr>
        <w:pStyle w:val="Heading3"/>
      </w:pPr>
      <w:r w:rsidRPr="00AC19D5">
        <w:t>Recurring Maintenance</w:t>
      </w:r>
    </w:p>
    <w:p w14:paraId="284E2297" w14:textId="7DCC7C82" w:rsidR="00DD271C" w:rsidRPr="00CE25BD" w:rsidRDefault="00DD271C" w:rsidP="00DD271C">
      <w:r w:rsidRPr="00CE25BD">
        <w:t xml:space="preserve">This maintenance service (also referred to as "weekly maintenance" in RHW) is used for expenses </w:t>
      </w:r>
      <w:r>
        <w:t>i</w:t>
      </w:r>
      <w:r w:rsidRPr="00CE25BD">
        <w:t>ncurred on a recurring basis as a direct result of participation in TWC-VR services.</w:t>
      </w:r>
    </w:p>
    <w:p w14:paraId="5891BCA4" w14:textId="77777777" w:rsidR="00DD271C" w:rsidRPr="00CE25BD" w:rsidRDefault="00DD271C" w:rsidP="00DD271C">
      <w:r w:rsidRPr="00CE25BD">
        <w:t>Recurring maintenance payments may</w:t>
      </w:r>
      <w:r>
        <w:t>—</w:t>
      </w:r>
    </w:p>
    <w:p w14:paraId="69FECBD9" w14:textId="77777777" w:rsidR="00DD271C" w:rsidRPr="00CE25BD" w:rsidRDefault="00DD271C" w:rsidP="00DD271C">
      <w:pPr>
        <w:pStyle w:val="ListBulleted"/>
      </w:pPr>
      <w:r>
        <w:t>N</w:t>
      </w:r>
      <w:r w:rsidRPr="00CE25BD">
        <w:t>ot exceed $55 per week;</w:t>
      </w:r>
    </w:p>
    <w:p w14:paraId="6EDF2FBA" w14:textId="77777777" w:rsidR="00DD271C" w:rsidRPr="00CE25BD" w:rsidRDefault="00DD271C" w:rsidP="00DD271C">
      <w:pPr>
        <w:pStyle w:val="ListBulleted"/>
      </w:pPr>
      <w:r>
        <w:t>B</w:t>
      </w:r>
      <w:r w:rsidRPr="00CE25BD">
        <w:t>e paid during TWC-VR academic or vocational training, as determined necessary, but</w:t>
      </w:r>
      <w:r>
        <w:t>—</w:t>
      </w:r>
      <w:r w:rsidRPr="00CE25BD">
        <w:t xml:space="preserve"> </w:t>
      </w:r>
    </w:p>
    <w:p w14:paraId="0336E1FE" w14:textId="77777777" w:rsidR="00DD271C" w:rsidRPr="00CE25BD" w:rsidRDefault="00DD271C" w:rsidP="00DD271C">
      <w:pPr>
        <w:pStyle w:val="ListBulleted"/>
        <w:numPr>
          <w:ilvl w:val="1"/>
          <w:numId w:val="35"/>
        </w:numPr>
      </w:pPr>
      <w:r>
        <w:t>M</w:t>
      </w:r>
      <w:r w:rsidRPr="00CE25BD">
        <w:t>ust not exceed 104 weeks for a customer who is pursuing vocational training;</w:t>
      </w:r>
    </w:p>
    <w:p w14:paraId="6B8884A5" w14:textId="77777777" w:rsidR="00DD271C" w:rsidRPr="00CE25BD" w:rsidRDefault="00DD271C" w:rsidP="00DD271C">
      <w:pPr>
        <w:pStyle w:val="ListBulleted"/>
        <w:numPr>
          <w:ilvl w:val="1"/>
          <w:numId w:val="35"/>
        </w:numPr>
      </w:pPr>
      <w:r>
        <w:t>M</w:t>
      </w:r>
      <w:r w:rsidRPr="00CE25BD">
        <w:t xml:space="preserve">ust not exceed 156 </w:t>
      </w:r>
      <w:r w:rsidRPr="0093081A">
        <w:t xml:space="preserve">weeks </w:t>
      </w:r>
      <w:r w:rsidRPr="00CE25BD">
        <w:t>for a customer who is pursuing academic college-level training;</w:t>
      </w:r>
    </w:p>
    <w:p w14:paraId="6F5590B2" w14:textId="77777777" w:rsidR="00DD271C" w:rsidRPr="00CE25BD" w:rsidRDefault="00DD271C" w:rsidP="00DD271C">
      <w:pPr>
        <w:pStyle w:val="ListBulleted"/>
      </w:pPr>
      <w:r>
        <w:t>B</w:t>
      </w:r>
      <w:r w:rsidRPr="00CE25BD">
        <w:t>e paid to a customer in self-employment, as determined necessary, but must not exceed 16 weeks; and</w:t>
      </w:r>
    </w:p>
    <w:p w14:paraId="409CFD04" w14:textId="77777777" w:rsidR="00DD271C" w:rsidRDefault="00DD271C" w:rsidP="00DD271C">
      <w:pPr>
        <w:pStyle w:val="ListBulleted"/>
      </w:pPr>
      <w:bookmarkStart w:id="10" w:name="_Hlk162444962"/>
      <w:r>
        <w:t>Be paid to cover the cost of a h</w:t>
      </w:r>
      <w:r w:rsidRPr="00CE25BD">
        <w:t>ealth insurance premium</w:t>
      </w:r>
      <w:r>
        <w:t xml:space="preserve"> </w:t>
      </w:r>
      <w:r w:rsidRPr="00CE25BD">
        <w:t>if insurance is required by a business</w:t>
      </w:r>
      <w:r>
        <w:t xml:space="preserve"> for participation in the following: </w:t>
      </w:r>
    </w:p>
    <w:p w14:paraId="61A36223" w14:textId="77777777" w:rsidR="00DD271C" w:rsidRDefault="00DD271C" w:rsidP="00DD271C">
      <w:pPr>
        <w:pStyle w:val="ListBulleted"/>
        <w:numPr>
          <w:ilvl w:val="1"/>
          <w:numId w:val="35"/>
        </w:numPr>
      </w:pPr>
      <w:r>
        <w:t>Work Experience Services;</w:t>
      </w:r>
    </w:p>
    <w:p w14:paraId="53F8B0D4" w14:textId="77777777" w:rsidR="00DD271C" w:rsidRDefault="00DD271C" w:rsidP="00DD271C">
      <w:pPr>
        <w:pStyle w:val="ListBulleted"/>
        <w:numPr>
          <w:ilvl w:val="1"/>
          <w:numId w:val="35"/>
        </w:numPr>
      </w:pPr>
      <w:r>
        <w:t>Paid Work Experience purchased through Local Workforce Development Boards (Boards);</w:t>
      </w:r>
    </w:p>
    <w:p w14:paraId="06A4A63C" w14:textId="77777777" w:rsidR="00DD271C" w:rsidRDefault="00DD271C" w:rsidP="00DD271C">
      <w:pPr>
        <w:pStyle w:val="ListBulleted"/>
        <w:numPr>
          <w:ilvl w:val="1"/>
          <w:numId w:val="35"/>
        </w:numPr>
      </w:pPr>
      <w:r>
        <w:t xml:space="preserve">Wage Services for Work Experience through </w:t>
      </w:r>
      <w:proofErr w:type="spellStart"/>
      <w:r>
        <w:t>WorkQuest</w:t>
      </w:r>
      <w:proofErr w:type="spellEnd"/>
      <w:r>
        <w:t>;</w:t>
      </w:r>
    </w:p>
    <w:p w14:paraId="758A10E1" w14:textId="77777777" w:rsidR="00DD271C" w:rsidRDefault="00DD271C" w:rsidP="00DD271C">
      <w:pPr>
        <w:pStyle w:val="ListBulleted"/>
        <w:numPr>
          <w:ilvl w:val="1"/>
          <w:numId w:val="35"/>
        </w:numPr>
      </w:pPr>
      <w:r>
        <w:t>Practicums;</w:t>
      </w:r>
    </w:p>
    <w:p w14:paraId="4CB673B6" w14:textId="77777777" w:rsidR="00DD271C" w:rsidRDefault="00DD271C" w:rsidP="00DD271C">
      <w:pPr>
        <w:pStyle w:val="ListBulleted"/>
        <w:numPr>
          <w:ilvl w:val="1"/>
          <w:numId w:val="35"/>
        </w:numPr>
      </w:pPr>
      <w:r>
        <w:lastRenderedPageBreak/>
        <w:t>Clinicals; and</w:t>
      </w:r>
    </w:p>
    <w:p w14:paraId="0E81DD38" w14:textId="77777777" w:rsidR="00DD271C" w:rsidRDefault="00DD271C" w:rsidP="00DD271C">
      <w:pPr>
        <w:pStyle w:val="ListBulleted"/>
        <w:numPr>
          <w:ilvl w:val="1"/>
          <w:numId w:val="35"/>
        </w:numPr>
      </w:pPr>
      <w:r>
        <w:t>Internships.</w:t>
      </w:r>
    </w:p>
    <w:p w14:paraId="2710677D" w14:textId="77777777" w:rsidR="00DD271C" w:rsidRDefault="00DD271C" w:rsidP="00DD271C">
      <w:r>
        <w:t>Health insurance premiums may only be purchased while the customer is participating in the above bulleted services. TWC-VR staff must document the options explored for health insurance and the justification for which option best meets the customer's vocational needs.</w:t>
      </w:r>
    </w:p>
    <w:p w14:paraId="1EE77904" w14:textId="77777777" w:rsidR="00DD271C" w:rsidRPr="00DD271C" w:rsidRDefault="00DD271C" w:rsidP="00DD271C">
      <w:pPr>
        <w:pStyle w:val="Heading3"/>
      </w:pPr>
      <w:r w:rsidRPr="00C368FC">
        <w:t>Nonrecurring Maintenance</w:t>
      </w:r>
    </w:p>
    <w:p w14:paraId="3B5EFE74" w14:textId="1C2DAA35" w:rsidR="00DD271C" w:rsidRPr="004061F5" w:rsidRDefault="00DD271C" w:rsidP="00DD271C">
      <w:r w:rsidRPr="004061F5">
        <w:t>This maintenance service (also referred to as "one-time maintenance" in RHW) is used for one-time expenses that are incurred as a direct result of participation in TWC-VR services.</w:t>
      </w:r>
    </w:p>
    <w:p w14:paraId="46546C07" w14:textId="77777777" w:rsidR="00DD271C" w:rsidRPr="00CE25BD" w:rsidRDefault="00DD271C" w:rsidP="00DD271C">
      <w:r w:rsidRPr="00CE25BD">
        <w:t>Nonrecurring maintenance may also be used to purchase the following:</w:t>
      </w:r>
    </w:p>
    <w:p w14:paraId="2FC111C0" w14:textId="77777777" w:rsidR="00DD271C" w:rsidRPr="00CE25BD" w:rsidRDefault="00DD271C" w:rsidP="00DD271C">
      <w:pPr>
        <w:pStyle w:val="ListBulleted"/>
      </w:pPr>
      <w:r w:rsidRPr="00CE25BD">
        <w:t xml:space="preserve">Maximum Affordable Payment Schedule (MAPS) goods and services (only when the vendor will not accept a </w:t>
      </w:r>
      <w:r>
        <w:t>TWC-</w:t>
      </w:r>
      <w:r w:rsidRPr="00CE25BD">
        <w:t>VR service authorization</w:t>
      </w:r>
      <w:r>
        <w:t xml:space="preserve"> [SA]</w:t>
      </w:r>
      <w:r w:rsidRPr="00CE25BD">
        <w:t>)</w:t>
      </w:r>
      <w:r>
        <w:t>—</w:t>
      </w:r>
      <w:r w:rsidRPr="00CE25BD">
        <w:t xml:space="preserve"> </w:t>
      </w:r>
    </w:p>
    <w:p w14:paraId="1CD2B7FC" w14:textId="77777777" w:rsidR="00DD271C" w:rsidRPr="00CE25BD" w:rsidRDefault="00DD271C" w:rsidP="00DD271C">
      <w:pPr>
        <w:pStyle w:val="ListBulleted"/>
        <w:numPr>
          <w:ilvl w:val="1"/>
          <w:numId w:val="35"/>
        </w:numPr>
      </w:pPr>
      <w:r w:rsidRPr="00CE25BD">
        <w:t>Applicable MAPS rate must still be applied to determine the amount of maintenance to be paid</w:t>
      </w:r>
      <w:r>
        <w:t>; and</w:t>
      </w:r>
    </w:p>
    <w:p w14:paraId="5AE91217" w14:textId="77777777" w:rsidR="00DD271C" w:rsidRPr="00CE25BD" w:rsidRDefault="00DD271C" w:rsidP="00DD271C">
      <w:pPr>
        <w:pStyle w:val="ListBulleted"/>
        <w:numPr>
          <w:ilvl w:val="1"/>
          <w:numId w:val="35"/>
        </w:numPr>
      </w:pPr>
      <w:r w:rsidRPr="00CE25BD">
        <w:t>The process may not be used to exceed established MAPS fees</w:t>
      </w:r>
      <w:r>
        <w:t>;</w:t>
      </w:r>
    </w:p>
    <w:bookmarkEnd w:id="10"/>
    <w:p w14:paraId="3A67EA80" w14:textId="77777777" w:rsidR="00DD271C" w:rsidRPr="0092004B" w:rsidRDefault="00DD271C" w:rsidP="00DD271C">
      <w:pPr>
        <w:pStyle w:val="ListBulleted"/>
      </w:pPr>
      <w:r w:rsidRPr="0092004B">
        <w:t xml:space="preserve">Business start-up costs for self-employment; </w:t>
      </w:r>
    </w:p>
    <w:p w14:paraId="3F9C0ACA" w14:textId="77777777" w:rsidR="00DD271C" w:rsidRPr="00CE25BD" w:rsidRDefault="00DD271C" w:rsidP="00DD271C">
      <w:pPr>
        <w:pStyle w:val="ListBulleted"/>
      </w:pPr>
      <w:r w:rsidRPr="00CE25BD">
        <w:t>Escort or attendant supports (when required) for a customer (</w:t>
      </w:r>
      <w:r>
        <w:t>c</w:t>
      </w:r>
      <w:r w:rsidRPr="00CE25BD">
        <w:t xml:space="preserve">urrent </w:t>
      </w:r>
      <w:r>
        <w:t>S</w:t>
      </w:r>
      <w:r w:rsidRPr="00CE25BD">
        <w:t>tate per diem rate</w:t>
      </w:r>
      <w:r>
        <w:t xml:space="preserve"> at </w:t>
      </w:r>
      <w:r w:rsidRPr="00E27D33">
        <w:t xml:space="preserve">State Comptroller website: </w:t>
      </w:r>
      <w:hyperlink r:id="rId13" w:history="1">
        <w:proofErr w:type="spellStart"/>
        <w:r w:rsidRPr="00E27D33">
          <w:rPr>
            <w:rStyle w:val="Hyperlink"/>
          </w:rPr>
          <w:t>Textravel</w:t>
        </w:r>
        <w:proofErr w:type="spellEnd"/>
        <w:r w:rsidRPr="00E27D33">
          <w:rPr>
            <w:rStyle w:val="Hyperlink"/>
          </w:rPr>
          <w:t xml:space="preserve"> - Current Rates (texas.gov)</w:t>
        </w:r>
      </w:hyperlink>
      <w:r w:rsidRPr="00CE25BD">
        <w:t>)</w:t>
      </w:r>
      <w:r>
        <w:t>;</w:t>
      </w:r>
    </w:p>
    <w:p w14:paraId="6056BC80" w14:textId="77777777" w:rsidR="00DD271C" w:rsidRPr="00CE25BD" w:rsidRDefault="00DD271C" w:rsidP="00DD271C">
      <w:pPr>
        <w:pStyle w:val="ListBulleted"/>
      </w:pPr>
      <w:r w:rsidRPr="00CE25BD">
        <w:t xml:space="preserve">Initial one-time costs, such as a security deposit or charges for the initiation of utilities, </w:t>
      </w:r>
      <w:r>
        <w:t xml:space="preserve">that </w:t>
      </w:r>
      <w:r w:rsidRPr="00CE25BD">
        <w:t>are required in order for a</w:t>
      </w:r>
      <w:r>
        <w:t xml:space="preserve"> customer</w:t>
      </w:r>
      <w:r w:rsidRPr="00CE25BD">
        <w:t xml:space="preserve"> to relocate for a job placement or to participate in </w:t>
      </w:r>
      <w:r>
        <w:t>TWC-</w:t>
      </w:r>
      <w:r w:rsidRPr="00CE25BD">
        <w:t>VR services.</w:t>
      </w:r>
    </w:p>
    <w:p w14:paraId="7A8A6186" w14:textId="77777777" w:rsidR="00DD271C" w:rsidRDefault="00DD271C" w:rsidP="00DD271C">
      <w:pPr>
        <w:pStyle w:val="ListBulleted"/>
      </w:pPr>
      <w:bookmarkStart w:id="11" w:name="_Hlk162169337"/>
      <w:r w:rsidRPr="00CE25BD">
        <w:t>Health insurance premium</w:t>
      </w:r>
      <w:r>
        <w:t xml:space="preserve"> </w:t>
      </w:r>
      <w:r w:rsidRPr="00CE25BD">
        <w:t>if insurance is required by a business</w:t>
      </w:r>
      <w:r>
        <w:t xml:space="preserve"> for participation in the following: </w:t>
      </w:r>
    </w:p>
    <w:p w14:paraId="29CC4885" w14:textId="77777777" w:rsidR="00DD271C" w:rsidRDefault="00DD271C" w:rsidP="00DD271C">
      <w:pPr>
        <w:pStyle w:val="ListBulleted"/>
        <w:numPr>
          <w:ilvl w:val="1"/>
          <w:numId w:val="35"/>
        </w:numPr>
      </w:pPr>
      <w:r>
        <w:t>Work Experience Services;</w:t>
      </w:r>
    </w:p>
    <w:p w14:paraId="1D06CD17" w14:textId="77777777" w:rsidR="00DD271C" w:rsidRDefault="00DD271C" w:rsidP="00DD271C">
      <w:pPr>
        <w:pStyle w:val="ListBulleted"/>
        <w:numPr>
          <w:ilvl w:val="1"/>
          <w:numId w:val="35"/>
        </w:numPr>
      </w:pPr>
      <w:r>
        <w:t>Paid Work Experience purchased through Local Workforce Development Boards (Boards);</w:t>
      </w:r>
    </w:p>
    <w:p w14:paraId="28F6BCBB" w14:textId="77777777" w:rsidR="00DD271C" w:rsidRDefault="00DD271C" w:rsidP="00DD271C">
      <w:pPr>
        <w:pStyle w:val="ListBulleted"/>
        <w:numPr>
          <w:ilvl w:val="1"/>
          <w:numId w:val="35"/>
        </w:numPr>
      </w:pPr>
      <w:r>
        <w:t xml:space="preserve">Wage Services for Work Experience through </w:t>
      </w:r>
      <w:proofErr w:type="spellStart"/>
      <w:r>
        <w:t>WorkQuest</w:t>
      </w:r>
      <w:proofErr w:type="spellEnd"/>
      <w:r>
        <w:t>;</w:t>
      </w:r>
    </w:p>
    <w:p w14:paraId="1CB30F74" w14:textId="77777777" w:rsidR="00DD271C" w:rsidRDefault="00DD271C" w:rsidP="00DD271C">
      <w:pPr>
        <w:pStyle w:val="ListBulleted"/>
        <w:numPr>
          <w:ilvl w:val="1"/>
          <w:numId w:val="35"/>
        </w:numPr>
      </w:pPr>
      <w:r>
        <w:t>Practicums;</w:t>
      </w:r>
    </w:p>
    <w:p w14:paraId="1C648D7D" w14:textId="77777777" w:rsidR="00DD271C" w:rsidRDefault="00DD271C" w:rsidP="00DD271C">
      <w:pPr>
        <w:pStyle w:val="ListBulleted"/>
        <w:numPr>
          <w:ilvl w:val="1"/>
          <w:numId w:val="35"/>
        </w:numPr>
      </w:pPr>
      <w:r>
        <w:t>Clinicals; and</w:t>
      </w:r>
    </w:p>
    <w:p w14:paraId="5894BEAA" w14:textId="77777777" w:rsidR="00DD271C" w:rsidRDefault="00DD271C" w:rsidP="00DD271C">
      <w:pPr>
        <w:pStyle w:val="ListBulleted"/>
        <w:numPr>
          <w:ilvl w:val="1"/>
          <w:numId w:val="35"/>
        </w:numPr>
      </w:pPr>
      <w:r>
        <w:t>Internships.</w:t>
      </w:r>
    </w:p>
    <w:p w14:paraId="5D6359D2" w14:textId="77777777" w:rsidR="00DD271C" w:rsidRDefault="00DD271C" w:rsidP="00DD271C">
      <w:r>
        <w:lastRenderedPageBreak/>
        <w:t>Health insurance premiums may only be purchased while the customer is participating in the above bulleted services. TWC-VR staff must document the options explored for health insurance and the justification for which option best meets the customer's vocational needs.</w:t>
      </w:r>
    </w:p>
    <w:p w14:paraId="4F769663" w14:textId="77777777" w:rsidR="00DD271C" w:rsidRPr="00DD271C" w:rsidRDefault="00DD271C" w:rsidP="00DD271C">
      <w:pPr>
        <w:pStyle w:val="Heading3"/>
      </w:pPr>
      <w:bookmarkStart w:id="12" w:name="_Hlk165285762"/>
      <w:bookmarkEnd w:id="11"/>
      <w:r w:rsidRPr="00425F56">
        <w:t>Short-Term Housing Maintenance</w:t>
      </w:r>
      <w:bookmarkEnd w:id="12"/>
    </w:p>
    <w:p w14:paraId="4779B3DE" w14:textId="2F14E3DE" w:rsidR="00DD271C" w:rsidRPr="00CE25BD" w:rsidRDefault="00DD271C" w:rsidP="00DD271C">
      <w:r w:rsidRPr="00CE25BD">
        <w:t xml:space="preserve">This maintenance service paid to a customer is used only for short-term housing </w:t>
      </w:r>
      <w:r>
        <w:t xml:space="preserve">expenses </w:t>
      </w:r>
      <w:r w:rsidRPr="004061F5">
        <w:t>that are incurred as a direct result of participation in TWC-VR services.</w:t>
      </w:r>
      <w:r>
        <w:t xml:space="preserve"> </w:t>
      </w:r>
      <w:r w:rsidRPr="00E27D33">
        <w:t>It must not be used to pay a customer's mortgage payment or usual and customary rent for housing, which are considered normal living expenses.</w:t>
      </w:r>
      <w:r>
        <w:t xml:space="preserve"> </w:t>
      </w:r>
      <w:r w:rsidRPr="00CE25BD">
        <w:t>When it is expected that short-term housing maintenance</w:t>
      </w:r>
      <w:r>
        <w:t xml:space="preserve">, </w:t>
      </w:r>
      <w:r w:rsidRPr="008B6231">
        <w:t>in excess of normal living expenses</w:t>
      </w:r>
      <w:r>
        <w:t xml:space="preserve">, </w:t>
      </w:r>
      <w:r w:rsidRPr="00CE25BD">
        <w:t xml:space="preserve">will exceed a total of </w:t>
      </w:r>
      <w:r w:rsidRPr="008B6231">
        <w:rPr>
          <w:u w:val="single"/>
        </w:rPr>
        <w:t>three</w:t>
      </w:r>
      <w:r w:rsidRPr="00CE25BD">
        <w:t xml:space="preserve"> months (cumulatively or consecutively), </w:t>
      </w:r>
      <w:r>
        <w:t>TWC-</w:t>
      </w:r>
      <w:r w:rsidRPr="00CE25BD">
        <w:t xml:space="preserve">VR </w:t>
      </w:r>
      <w:r>
        <w:t>staff</w:t>
      </w:r>
      <w:r w:rsidRPr="00CE25BD">
        <w:t xml:space="preserve"> must initiate the process to establish the landlord as a provider for "short-term housing" during the first month for which short-term housing maintenance is authorized. </w:t>
      </w:r>
    </w:p>
    <w:p w14:paraId="22F618AD" w14:textId="77777777" w:rsidR="00DD271C" w:rsidRPr="00CE25BD" w:rsidRDefault="00DD271C" w:rsidP="00DD271C">
      <w:r w:rsidRPr="00CE25BD">
        <w:t xml:space="preserve">If the landlord declines to be established as a provider for any reason, or if </w:t>
      </w:r>
      <w:r>
        <w:t>they have</w:t>
      </w:r>
      <w:r w:rsidRPr="00CE25BD">
        <w:t xml:space="preserve"> a hold through the </w:t>
      </w:r>
      <w:r>
        <w:t xml:space="preserve">Texas </w:t>
      </w:r>
      <w:r w:rsidRPr="00CE25BD">
        <w:t xml:space="preserve">comptroller and cannot be paid, alternate housing must be explored. If no other acceptable options are available, justification for paying short-term housing maintenance to the customer requires VR </w:t>
      </w:r>
      <w:r>
        <w:t>M</w:t>
      </w:r>
      <w:r w:rsidRPr="00CE25BD">
        <w:t xml:space="preserve">anager approval. </w:t>
      </w:r>
    </w:p>
    <w:p w14:paraId="561D7432" w14:textId="77777777" w:rsidR="00DD271C" w:rsidRDefault="00DD271C" w:rsidP="00DD271C">
      <w:r w:rsidRPr="00CE25BD">
        <w:t xml:space="preserve">Once established as a </w:t>
      </w:r>
      <w:r>
        <w:t>TWC-</w:t>
      </w:r>
      <w:r w:rsidRPr="00CE25BD">
        <w:t xml:space="preserve">VR provider, </w:t>
      </w:r>
      <w:r w:rsidRPr="00815B83">
        <w:t>short-term housing maintenance is paid as short-term housing to the providing landlord or lessor.</w:t>
      </w:r>
    </w:p>
    <w:p w14:paraId="1CC2727A" w14:textId="77777777" w:rsidR="00DD271C" w:rsidRPr="00DD271C" w:rsidRDefault="00DD271C" w:rsidP="00DD271C">
      <w:pPr>
        <w:pStyle w:val="Heading3"/>
      </w:pPr>
      <w:r w:rsidRPr="0091434E">
        <w:t>Processing Maintenance Service Payments</w:t>
      </w:r>
    </w:p>
    <w:p w14:paraId="42FF89B7" w14:textId="7CF9F895" w:rsidR="00DD271C" w:rsidRPr="00CE25BD" w:rsidRDefault="00DD271C" w:rsidP="00DD271C">
      <w:r w:rsidRPr="00CE25BD">
        <w:t xml:space="preserve">Maintenance services are authorized and paid to the customer in advance. When approved by the </w:t>
      </w:r>
      <w:r>
        <w:t>VR Counselor</w:t>
      </w:r>
      <w:r w:rsidRPr="00CE25BD">
        <w:t>, maintenance checks, or warrants, are mailed</w:t>
      </w:r>
      <w:r>
        <w:t>—</w:t>
      </w:r>
    </w:p>
    <w:p w14:paraId="60530C5E" w14:textId="77777777" w:rsidR="00DD271C" w:rsidRPr="00CE25BD" w:rsidRDefault="00DD271C" w:rsidP="00DD271C">
      <w:pPr>
        <w:pStyle w:val="ListBulleted"/>
      </w:pPr>
      <w:r>
        <w:t>D</w:t>
      </w:r>
      <w:r w:rsidRPr="00CE25BD">
        <w:t>irectly to the customer, their representative, or third-party payee; or</w:t>
      </w:r>
    </w:p>
    <w:p w14:paraId="6D0E58A6" w14:textId="77777777" w:rsidR="00DD271C" w:rsidRDefault="00DD271C" w:rsidP="00DD271C">
      <w:pPr>
        <w:pStyle w:val="ListBulleted"/>
      </w:pPr>
      <w:r>
        <w:t>T</w:t>
      </w:r>
      <w:r w:rsidRPr="00CE25BD">
        <w:t xml:space="preserve">o the TWC-VR office where the customer is receiving services, when approved by the VR </w:t>
      </w:r>
      <w:r>
        <w:t>M</w:t>
      </w:r>
      <w:r w:rsidRPr="00CE25BD">
        <w:t xml:space="preserve">anager, </w:t>
      </w:r>
      <w:r>
        <w:t>under</w:t>
      </w:r>
      <w:r w:rsidRPr="00CE25BD">
        <w:t xml:space="preserve"> exceptional circumstances. </w:t>
      </w:r>
    </w:p>
    <w:p w14:paraId="5A6BC4BA" w14:textId="77777777" w:rsidR="00DD271C" w:rsidRPr="0093483F" w:rsidRDefault="00DD271C" w:rsidP="00DD271C">
      <w:r w:rsidRPr="0093483F">
        <w:t xml:space="preserve">When a </w:t>
      </w:r>
      <w:r>
        <w:t>maintenance</w:t>
      </w:r>
      <w:r w:rsidRPr="0093483F">
        <w:t xml:space="preserve"> warrant is received in the</w:t>
      </w:r>
      <w:r>
        <w:t xml:space="preserve"> TWC-</w:t>
      </w:r>
      <w:r w:rsidRPr="0093483F">
        <w:t xml:space="preserve">VR office, the </w:t>
      </w:r>
      <w:r>
        <w:t>TWC-VR staff member must</w:t>
      </w:r>
      <w:r w:rsidRPr="0093483F">
        <w:t>—</w:t>
      </w:r>
    </w:p>
    <w:p w14:paraId="7366E71D" w14:textId="77777777" w:rsidR="00DD271C" w:rsidRPr="00D7214E" w:rsidRDefault="00DD271C" w:rsidP="00DD271C">
      <w:pPr>
        <w:pStyle w:val="ListBulleted"/>
        <w:rPr>
          <w:lang w:val="en" w:eastAsia="ja-JP"/>
        </w:rPr>
      </w:pPr>
      <w:r w:rsidRPr="00D7214E">
        <w:rPr>
          <w:lang w:val="en" w:eastAsia="ja-JP"/>
        </w:rPr>
        <w:t xml:space="preserve">Document the </w:t>
      </w:r>
      <w:r>
        <w:rPr>
          <w:lang w:val="en" w:eastAsia="ja-JP"/>
        </w:rPr>
        <w:t xml:space="preserve">TWC-VR </w:t>
      </w:r>
      <w:r w:rsidRPr="00D7214E">
        <w:rPr>
          <w:lang w:val="en" w:eastAsia="ja-JP"/>
        </w:rPr>
        <w:t xml:space="preserve">receipt of the warrant in </w:t>
      </w:r>
      <w:r>
        <w:rPr>
          <w:lang w:val="en" w:eastAsia="ja-JP"/>
        </w:rPr>
        <w:t>a case note, containing—</w:t>
      </w:r>
      <w:r w:rsidRPr="00D7214E">
        <w:rPr>
          <w:lang w:val="en" w:eastAsia="ja-JP"/>
        </w:rPr>
        <w:t xml:space="preserve"> </w:t>
      </w:r>
    </w:p>
    <w:p w14:paraId="4DBD31AE" w14:textId="77777777" w:rsidR="00DD271C" w:rsidRPr="00D7214E" w:rsidRDefault="00DD271C" w:rsidP="00DD271C">
      <w:pPr>
        <w:pStyle w:val="ListBulleted"/>
        <w:numPr>
          <w:ilvl w:val="1"/>
          <w:numId w:val="35"/>
        </w:numPr>
        <w:rPr>
          <w:lang w:val="en" w:eastAsia="ja-JP"/>
        </w:rPr>
      </w:pPr>
      <w:r w:rsidRPr="00D7214E">
        <w:rPr>
          <w:lang w:val="en" w:eastAsia="ja-JP"/>
        </w:rPr>
        <w:t>The date that the warrant was received; and</w:t>
      </w:r>
    </w:p>
    <w:p w14:paraId="6E27BAA6" w14:textId="77777777" w:rsidR="00DD271C" w:rsidRPr="00D7214E" w:rsidRDefault="00DD271C" w:rsidP="00DD271C">
      <w:pPr>
        <w:pStyle w:val="ListBulleted"/>
        <w:numPr>
          <w:ilvl w:val="1"/>
          <w:numId w:val="35"/>
        </w:numPr>
        <w:rPr>
          <w:lang w:val="en" w:eastAsia="ja-JP"/>
        </w:rPr>
      </w:pPr>
      <w:r w:rsidRPr="00D7214E">
        <w:rPr>
          <w:lang w:val="en" w:eastAsia="ja-JP"/>
        </w:rPr>
        <w:t>The warrant number and amount;</w:t>
      </w:r>
    </w:p>
    <w:p w14:paraId="0530555D" w14:textId="77777777" w:rsidR="00DD271C" w:rsidRPr="00D7214E" w:rsidRDefault="00DD271C" w:rsidP="00DD271C">
      <w:pPr>
        <w:pStyle w:val="ListBulleted"/>
        <w:rPr>
          <w:lang w:val="en" w:eastAsia="ja-JP"/>
        </w:rPr>
      </w:pPr>
      <w:r w:rsidRPr="00D7214E">
        <w:rPr>
          <w:lang w:val="en" w:eastAsia="ja-JP"/>
        </w:rPr>
        <w:t xml:space="preserve">Contact the customer and documents the contact in </w:t>
      </w:r>
      <w:r>
        <w:rPr>
          <w:lang w:val="en" w:eastAsia="ja-JP"/>
        </w:rPr>
        <w:t>a caste note</w:t>
      </w:r>
      <w:r w:rsidRPr="00D7214E">
        <w:rPr>
          <w:lang w:val="en" w:eastAsia="ja-JP"/>
        </w:rPr>
        <w:t>; and</w:t>
      </w:r>
    </w:p>
    <w:p w14:paraId="2A47895C" w14:textId="77777777" w:rsidR="00DD271C" w:rsidRPr="00D7214E" w:rsidRDefault="00DD271C" w:rsidP="00DD271C">
      <w:pPr>
        <w:pStyle w:val="ListBulleted"/>
        <w:rPr>
          <w:lang w:val="en" w:eastAsia="ja-JP"/>
        </w:rPr>
      </w:pPr>
      <w:r w:rsidRPr="00D7214E">
        <w:rPr>
          <w:lang w:val="en" w:eastAsia="ja-JP"/>
        </w:rPr>
        <w:t>Document</w:t>
      </w:r>
      <w:r>
        <w:rPr>
          <w:lang w:val="en" w:eastAsia="ja-JP"/>
        </w:rPr>
        <w:t xml:space="preserve"> the customer receipt of</w:t>
      </w:r>
      <w:r w:rsidRPr="00D7214E">
        <w:rPr>
          <w:lang w:val="en" w:eastAsia="ja-JP"/>
        </w:rPr>
        <w:t xml:space="preserve"> the warrant</w:t>
      </w:r>
      <w:r>
        <w:rPr>
          <w:lang w:val="en" w:eastAsia="ja-JP"/>
        </w:rPr>
        <w:t xml:space="preserve"> in a case note, containing—</w:t>
      </w:r>
    </w:p>
    <w:p w14:paraId="156D4738" w14:textId="77777777" w:rsidR="00DD271C" w:rsidRPr="00D7214E" w:rsidRDefault="00DD271C" w:rsidP="00DD271C">
      <w:pPr>
        <w:pStyle w:val="ListBulleted"/>
        <w:numPr>
          <w:ilvl w:val="1"/>
          <w:numId w:val="35"/>
        </w:numPr>
        <w:rPr>
          <w:lang w:val="en" w:eastAsia="ja-JP"/>
        </w:rPr>
      </w:pPr>
      <w:r w:rsidRPr="00D7214E">
        <w:rPr>
          <w:lang w:val="en" w:eastAsia="ja-JP"/>
        </w:rPr>
        <w:t>The date that the warrant was received by the customer</w:t>
      </w:r>
      <w:r>
        <w:rPr>
          <w:lang w:val="en" w:eastAsia="ja-JP"/>
        </w:rPr>
        <w:t>;</w:t>
      </w:r>
      <w:r w:rsidRPr="00D7214E">
        <w:rPr>
          <w:lang w:val="en" w:eastAsia="ja-JP"/>
        </w:rPr>
        <w:t xml:space="preserve"> and</w:t>
      </w:r>
    </w:p>
    <w:p w14:paraId="1C51FD0C" w14:textId="77777777" w:rsidR="00DD271C" w:rsidRPr="00D7214E" w:rsidRDefault="00DD271C" w:rsidP="00DD271C">
      <w:pPr>
        <w:pStyle w:val="ListBulleted"/>
        <w:numPr>
          <w:ilvl w:val="1"/>
          <w:numId w:val="35"/>
        </w:numPr>
        <w:rPr>
          <w:lang w:val="en" w:eastAsia="ja-JP"/>
        </w:rPr>
      </w:pPr>
      <w:r w:rsidRPr="00D7214E">
        <w:rPr>
          <w:lang w:val="en" w:eastAsia="ja-JP"/>
        </w:rPr>
        <w:t>The warrant number and amount.</w:t>
      </w:r>
    </w:p>
    <w:p w14:paraId="1F87737E" w14:textId="552741DC" w:rsidR="00DD271C" w:rsidRPr="00DD271C" w:rsidRDefault="00DD271C" w:rsidP="00DD271C">
      <w:pPr>
        <w:rPr>
          <w:lang w:val="en" w:eastAsia="ja-JP"/>
        </w:rPr>
      </w:pPr>
      <w:r w:rsidRPr="00D7214E">
        <w:rPr>
          <w:lang w:val="en" w:eastAsia="ja-JP"/>
        </w:rPr>
        <w:lastRenderedPageBreak/>
        <w:t>Until the customer receives the warrant, it must be stored under lock and key.</w:t>
      </w:r>
    </w:p>
    <w:p w14:paraId="2A6660AC" w14:textId="13524F3C" w:rsidR="00DD271C" w:rsidRPr="00224241" w:rsidRDefault="00DD271C" w:rsidP="00DD271C">
      <w:pPr>
        <w:pStyle w:val="Heading3"/>
      </w:pPr>
      <w:r w:rsidRPr="009132F2">
        <w:t>Documenting Maintenance Services</w:t>
      </w:r>
    </w:p>
    <w:tbl>
      <w:tblPr>
        <w:tblStyle w:val="TableGrid"/>
        <w:tblW w:w="0" w:type="auto"/>
        <w:tblInd w:w="265" w:type="dxa"/>
        <w:tblLook w:val="04A0" w:firstRow="1" w:lastRow="0" w:firstColumn="1" w:lastColumn="0" w:noHBand="0" w:noVBand="1"/>
      </w:tblPr>
      <w:tblGrid>
        <w:gridCol w:w="2104"/>
        <w:gridCol w:w="2960"/>
        <w:gridCol w:w="4885"/>
      </w:tblGrid>
      <w:tr w:rsidR="00DD271C" w:rsidRPr="00B70C57" w14:paraId="1C1501B9" w14:textId="77777777" w:rsidTr="00DD271C">
        <w:trPr>
          <w:tblHeader/>
        </w:trPr>
        <w:tc>
          <w:tcPr>
            <w:tcW w:w="2104" w:type="dxa"/>
            <w:shd w:val="clear" w:color="auto" w:fill="F0F4FA" w:themeFill="accent4"/>
          </w:tcPr>
          <w:p w14:paraId="34976D4B" w14:textId="77777777" w:rsidR="00DD271C" w:rsidRPr="00894CDA" w:rsidRDefault="00DD271C" w:rsidP="00DD271C">
            <w:pPr>
              <w:pStyle w:val="THead"/>
            </w:pPr>
            <w:r w:rsidRPr="00894CDA">
              <w:t>Documentation Type</w:t>
            </w:r>
          </w:p>
        </w:tc>
        <w:tc>
          <w:tcPr>
            <w:tcW w:w="2960" w:type="dxa"/>
            <w:shd w:val="clear" w:color="auto" w:fill="F0F4FA" w:themeFill="accent4"/>
          </w:tcPr>
          <w:p w14:paraId="3048A2AD" w14:textId="77777777" w:rsidR="00DD271C" w:rsidRPr="00894CDA" w:rsidRDefault="00DD271C" w:rsidP="00DD271C">
            <w:pPr>
              <w:pStyle w:val="THead"/>
            </w:pPr>
            <w:r w:rsidRPr="00894CDA">
              <w:t xml:space="preserve">Required Documentation: Customer </w:t>
            </w:r>
          </w:p>
        </w:tc>
        <w:tc>
          <w:tcPr>
            <w:tcW w:w="4885" w:type="dxa"/>
            <w:shd w:val="clear" w:color="auto" w:fill="F0F4FA" w:themeFill="accent4"/>
          </w:tcPr>
          <w:p w14:paraId="6D9584D0" w14:textId="77777777" w:rsidR="00DD271C" w:rsidRPr="00894CDA" w:rsidRDefault="00DD271C" w:rsidP="00DD271C">
            <w:pPr>
              <w:pStyle w:val="THead"/>
            </w:pPr>
            <w:r w:rsidRPr="00894CDA">
              <w:t>Required Documentation:</w:t>
            </w:r>
            <w:r>
              <w:br/>
              <w:t>VR Counselor</w:t>
            </w:r>
          </w:p>
        </w:tc>
      </w:tr>
      <w:tr w:rsidR="00DD271C" w14:paraId="3EE64905" w14:textId="77777777" w:rsidTr="00DD271C">
        <w:trPr>
          <w:trHeight w:val="3320"/>
        </w:trPr>
        <w:tc>
          <w:tcPr>
            <w:tcW w:w="2104" w:type="dxa"/>
          </w:tcPr>
          <w:p w14:paraId="6CEFC7E2" w14:textId="77777777" w:rsidR="00DD271C" w:rsidRDefault="00DD271C" w:rsidP="001F7E32">
            <w:pPr>
              <w:pStyle w:val="ListwithBullets"/>
              <w:numPr>
                <w:ilvl w:val="0"/>
                <w:numId w:val="0"/>
              </w:numPr>
              <w:spacing w:before="120"/>
            </w:pPr>
            <w:r>
              <w:t>Recurring Maintenance</w:t>
            </w:r>
          </w:p>
        </w:tc>
        <w:tc>
          <w:tcPr>
            <w:tcW w:w="2960" w:type="dxa"/>
          </w:tcPr>
          <w:p w14:paraId="45D4135A" w14:textId="77777777" w:rsidR="00DD271C" w:rsidRPr="00D75053" w:rsidRDefault="00DD271C" w:rsidP="00DD271C">
            <w:pPr>
              <w:pStyle w:val="ListParagraph"/>
              <w:numPr>
                <w:ilvl w:val="0"/>
                <w:numId w:val="42"/>
              </w:numPr>
              <w:autoSpaceDE w:val="0"/>
              <w:autoSpaceDN w:val="0"/>
              <w:adjustRightInd w:val="0"/>
              <w:spacing w:after="120" w:line="240" w:lineRule="auto"/>
              <w:ind w:left="258" w:hanging="270"/>
            </w:pPr>
            <w:r w:rsidRPr="00D75053">
              <w:t xml:space="preserve">Maintains </w:t>
            </w:r>
            <w:r w:rsidRPr="009132F2">
              <w:rPr>
                <w:i/>
                <w:iCs/>
              </w:rPr>
              <w:t>Maintenance Expense Log (VR2180)</w:t>
            </w:r>
          </w:p>
          <w:p w14:paraId="73F72D0C" w14:textId="77777777" w:rsidR="00DD271C" w:rsidRDefault="00DD271C" w:rsidP="00DD271C">
            <w:pPr>
              <w:pStyle w:val="ListParagraph"/>
              <w:numPr>
                <w:ilvl w:val="0"/>
                <w:numId w:val="42"/>
              </w:numPr>
              <w:autoSpaceDE w:val="0"/>
              <w:autoSpaceDN w:val="0"/>
              <w:adjustRightInd w:val="0"/>
              <w:spacing w:after="120" w:line="240" w:lineRule="auto"/>
              <w:ind w:left="258" w:hanging="270"/>
            </w:pPr>
            <w:r w:rsidRPr="00D75053">
              <w:t>Maintains copies of receipts</w:t>
            </w:r>
            <w:r>
              <w:t xml:space="preserve"> to verify content of </w:t>
            </w:r>
            <w:r w:rsidRPr="00894CDA">
              <w:rPr>
                <w:i/>
                <w:iCs/>
              </w:rPr>
              <w:t>VR2180</w:t>
            </w:r>
            <w:r>
              <w:rPr>
                <w:rStyle w:val="FootnoteReference"/>
              </w:rPr>
              <w:footnoteReference w:id="1"/>
            </w:r>
          </w:p>
        </w:tc>
        <w:tc>
          <w:tcPr>
            <w:tcW w:w="4885" w:type="dxa"/>
          </w:tcPr>
          <w:p w14:paraId="6C881EE4" w14:textId="77777777" w:rsidR="00DD271C" w:rsidRPr="00D75053" w:rsidRDefault="00DD271C" w:rsidP="00DD271C">
            <w:pPr>
              <w:pStyle w:val="ListParagraph"/>
              <w:numPr>
                <w:ilvl w:val="0"/>
                <w:numId w:val="42"/>
              </w:numPr>
              <w:autoSpaceDE w:val="0"/>
              <w:autoSpaceDN w:val="0"/>
              <w:adjustRightInd w:val="0"/>
              <w:spacing w:after="120" w:line="240" w:lineRule="auto"/>
              <w:ind w:left="258" w:hanging="270"/>
            </w:pPr>
            <w:r w:rsidRPr="00D75053">
              <w:t xml:space="preserve">Reviews </w:t>
            </w:r>
            <w:r w:rsidRPr="00894CDA">
              <w:rPr>
                <w:i/>
                <w:iCs/>
              </w:rPr>
              <w:t>VR2180</w:t>
            </w:r>
            <w:r w:rsidRPr="00D75053">
              <w:t xml:space="preserve"> monthly</w:t>
            </w:r>
          </w:p>
          <w:p w14:paraId="3D1602A5" w14:textId="77777777" w:rsidR="00DD271C" w:rsidRDefault="00DD271C" w:rsidP="00DD271C">
            <w:pPr>
              <w:pStyle w:val="ListParagraph"/>
              <w:numPr>
                <w:ilvl w:val="0"/>
                <w:numId w:val="42"/>
              </w:numPr>
              <w:autoSpaceDE w:val="0"/>
              <w:autoSpaceDN w:val="0"/>
              <w:adjustRightInd w:val="0"/>
              <w:spacing w:after="120" w:line="240" w:lineRule="auto"/>
              <w:ind w:left="258" w:hanging="270"/>
            </w:pPr>
            <w:r w:rsidRPr="00D75053">
              <w:t xml:space="preserve">If </w:t>
            </w:r>
            <w:r w:rsidRPr="00894CDA">
              <w:rPr>
                <w:i/>
                <w:iCs/>
              </w:rPr>
              <w:t>VR2180</w:t>
            </w:r>
            <w:r w:rsidRPr="00D75053">
              <w:t xml:space="preserve"> is not turned in or funds were not used for their intended purpose, no additional </w:t>
            </w:r>
            <w:r>
              <w:t xml:space="preserve">maintenance </w:t>
            </w:r>
            <w:r w:rsidRPr="00D75053">
              <w:t>payments can be authorized.</w:t>
            </w:r>
          </w:p>
          <w:p w14:paraId="10704A7D" w14:textId="77777777" w:rsidR="00DD271C" w:rsidRPr="00D75053" w:rsidRDefault="00DD271C" w:rsidP="00DD271C">
            <w:pPr>
              <w:numPr>
                <w:ilvl w:val="0"/>
                <w:numId w:val="42"/>
              </w:numPr>
              <w:spacing w:before="0" w:after="0" w:line="240" w:lineRule="auto"/>
            </w:pPr>
            <w:r>
              <w:t xml:space="preserve">Sends an email to </w:t>
            </w:r>
            <w:r w:rsidRPr="00BF62DC">
              <w:t>VR RHW Provider Services</w:t>
            </w:r>
            <w:r>
              <w:t xml:space="preserve"> at </w:t>
            </w:r>
            <w:hyperlink r:id="rId14" w:history="1">
              <w:r w:rsidRPr="00D35F73">
                <w:rPr>
                  <w:rStyle w:val="Hyperlink"/>
                </w:rPr>
                <w:t>vr.rhw.providerservices@twc.texas.gov</w:t>
              </w:r>
            </w:hyperlink>
            <w:r>
              <w:t xml:space="preserve"> to have customer established as provider when amount is over $400</w:t>
            </w:r>
          </w:p>
        </w:tc>
      </w:tr>
      <w:tr w:rsidR="00DD271C" w14:paraId="27541A22" w14:textId="77777777" w:rsidTr="00DD271C">
        <w:trPr>
          <w:trHeight w:val="1277"/>
        </w:trPr>
        <w:tc>
          <w:tcPr>
            <w:tcW w:w="2104" w:type="dxa"/>
          </w:tcPr>
          <w:p w14:paraId="238C13B8" w14:textId="77777777" w:rsidR="00DD271C" w:rsidRDefault="00DD271C" w:rsidP="001F7E32">
            <w:pPr>
              <w:pStyle w:val="ListwithBullets"/>
              <w:numPr>
                <w:ilvl w:val="0"/>
                <w:numId w:val="0"/>
              </w:numPr>
              <w:spacing w:before="120"/>
            </w:pPr>
            <w:r>
              <w:t>Nonrecurring Maintenance</w:t>
            </w:r>
          </w:p>
        </w:tc>
        <w:tc>
          <w:tcPr>
            <w:tcW w:w="2960" w:type="dxa"/>
          </w:tcPr>
          <w:p w14:paraId="4FDD3796" w14:textId="77777777" w:rsidR="00DD271C" w:rsidRDefault="00DD271C" w:rsidP="00DD271C">
            <w:pPr>
              <w:pStyle w:val="ListParagraph"/>
              <w:numPr>
                <w:ilvl w:val="0"/>
                <w:numId w:val="42"/>
              </w:numPr>
              <w:autoSpaceDE w:val="0"/>
              <w:autoSpaceDN w:val="0"/>
              <w:adjustRightInd w:val="0"/>
              <w:spacing w:after="120" w:line="240" w:lineRule="auto"/>
              <w:ind w:left="258" w:hanging="270"/>
            </w:pPr>
            <w:r>
              <w:t>Provides a receipt from vendor to show funds were used for their intended purpose</w:t>
            </w:r>
          </w:p>
        </w:tc>
        <w:tc>
          <w:tcPr>
            <w:tcW w:w="4885" w:type="dxa"/>
          </w:tcPr>
          <w:p w14:paraId="74AA42BE" w14:textId="77777777" w:rsidR="00DD271C" w:rsidRDefault="00DD271C" w:rsidP="00DD271C">
            <w:pPr>
              <w:pStyle w:val="ListParagraph"/>
              <w:numPr>
                <w:ilvl w:val="0"/>
                <w:numId w:val="42"/>
              </w:numPr>
              <w:autoSpaceDE w:val="0"/>
              <w:autoSpaceDN w:val="0"/>
              <w:adjustRightInd w:val="0"/>
              <w:spacing w:after="120" w:line="240" w:lineRule="auto"/>
              <w:ind w:left="258" w:hanging="270"/>
            </w:pPr>
            <w:r>
              <w:t xml:space="preserve">Sends an email to </w:t>
            </w:r>
            <w:r w:rsidRPr="00894CDA">
              <w:rPr>
                <w:rFonts w:cstheme="minorHAnsi"/>
              </w:rPr>
              <w:t>VR RHW Provider Services</w:t>
            </w:r>
            <w:r>
              <w:t xml:space="preserve"> at </w:t>
            </w:r>
            <w:hyperlink r:id="rId15" w:history="1">
              <w:r w:rsidRPr="00B70C57">
                <w:rPr>
                  <w:rStyle w:val="Hyperlink"/>
                </w:rPr>
                <w:t>vr.rhw.providerservices@twc.texas.gov</w:t>
              </w:r>
            </w:hyperlink>
            <w:r>
              <w:t xml:space="preserve">  to have customer established as provider when amount is over $400</w:t>
            </w:r>
          </w:p>
          <w:p w14:paraId="42CF5747" w14:textId="77777777" w:rsidR="00DD271C" w:rsidRDefault="00DD271C" w:rsidP="00DD271C">
            <w:pPr>
              <w:pStyle w:val="ListParagraph"/>
              <w:numPr>
                <w:ilvl w:val="0"/>
                <w:numId w:val="42"/>
              </w:numPr>
              <w:autoSpaceDE w:val="0"/>
              <w:autoSpaceDN w:val="0"/>
              <w:adjustRightInd w:val="0"/>
              <w:spacing w:after="120" w:line="240" w:lineRule="auto"/>
              <w:ind w:left="258" w:hanging="270"/>
            </w:pPr>
            <w:r>
              <w:t xml:space="preserve">If receipt is not turned in or funds were not used for their intended purpose, no additional maintenance payments can be authorized. </w:t>
            </w:r>
          </w:p>
        </w:tc>
      </w:tr>
      <w:tr w:rsidR="00DD271C" w14:paraId="2BB66C56" w14:textId="77777777" w:rsidTr="00DD271C">
        <w:trPr>
          <w:trHeight w:val="1331"/>
        </w:trPr>
        <w:tc>
          <w:tcPr>
            <w:tcW w:w="2104" w:type="dxa"/>
          </w:tcPr>
          <w:p w14:paraId="607B4DEF" w14:textId="77777777" w:rsidR="00DD271C" w:rsidRDefault="00DD271C" w:rsidP="001F7E32">
            <w:pPr>
              <w:pStyle w:val="ListwithBullets"/>
              <w:numPr>
                <w:ilvl w:val="0"/>
                <w:numId w:val="0"/>
              </w:numPr>
              <w:spacing w:before="120"/>
            </w:pPr>
            <w:r>
              <w:t>Short-Term Housing Maintenance</w:t>
            </w:r>
          </w:p>
        </w:tc>
        <w:tc>
          <w:tcPr>
            <w:tcW w:w="2960" w:type="dxa"/>
          </w:tcPr>
          <w:p w14:paraId="7569C3E1" w14:textId="77777777" w:rsidR="00DD271C" w:rsidRDefault="00DD271C" w:rsidP="00DD271C">
            <w:pPr>
              <w:pStyle w:val="ListParagraph"/>
              <w:numPr>
                <w:ilvl w:val="0"/>
                <w:numId w:val="42"/>
              </w:numPr>
              <w:autoSpaceDE w:val="0"/>
              <w:autoSpaceDN w:val="0"/>
              <w:adjustRightInd w:val="0"/>
              <w:spacing w:after="120" w:line="240" w:lineRule="auto"/>
              <w:ind w:left="258" w:hanging="270"/>
            </w:pPr>
            <w:r>
              <w:t>Provides a receipt showing proof of payment to provider that funds were used for their intended purpose</w:t>
            </w:r>
          </w:p>
        </w:tc>
        <w:tc>
          <w:tcPr>
            <w:tcW w:w="4885" w:type="dxa"/>
          </w:tcPr>
          <w:p w14:paraId="758C8AD1" w14:textId="77777777" w:rsidR="00DD271C" w:rsidRDefault="00DD271C" w:rsidP="00DD271C">
            <w:pPr>
              <w:pStyle w:val="ListParagraph"/>
              <w:numPr>
                <w:ilvl w:val="0"/>
                <w:numId w:val="42"/>
              </w:numPr>
              <w:autoSpaceDE w:val="0"/>
              <w:autoSpaceDN w:val="0"/>
              <w:adjustRightInd w:val="0"/>
              <w:spacing w:after="120" w:line="240" w:lineRule="auto"/>
              <w:ind w:left="258" w:hanging="270"/>
            </w:pPr>
            <w:r>
              <w:t>If receipt is not turned in or funds were not used for their intended purpose, no additional maintenance payments can be authorized.</w:t>
            </w:r>
          </w:p>
        </w:tc>
      </w:tr>
    </w:tbl>
    <w:p w14:paraId="424771A3" w14:textId="5817096D" w:rsidR="00145D80" w:rsidRDefault="009033A9" w:rsidP="00DF5CB7">
      <w:pPr>
        <w:pStyle w:val="Heading2"/>
      </w:pPr>
      <w:r>
        <w:t>APPROVALS &amp; CONSULTATIONS</w:t>
      </w:r>
    </w:p>
    <w:p w14:paraId="24A8889C" w14:textId="77777777" w:rsidR="00580991" w:rsidRDefault="00580991" w:rsidP="00895186">
      <w:r w:rsidRPr="0054062B">
        <w:t xml:space="preserve">TWC-VR staff must follow the following approvals and consultations: </w:t>
      </w:r>
    </w:p>
    <w:p w14:paraId="39C3927B" w14:textId="77777777" w:rsidR="001F7E32" w:rsidRDefault="001F7E32" w:rsidP="001F7E32">
      <w:pPr>
        <w:numPr>
          <w:ilvl w:val="0"/>
          <w:numId w:val="26"/>
        </w:numPr>
        <w:autoSpaceDE w:val="0"/>
        <w:autoSpaceDN w:val="0"/>
        <w:adjustRightInd w:val="0"/>
        <w:spacing w:line="259" w:lineRule="auto"/>
        <w:rPr>
          <w:i/>
          <w:iCs/>
          <w:szCs w:val="22"/>
          <w:lang w:val="en" w:eastAsia="ja-JP"/>
        </w:rPr>
      </w:pPr>
      <w:r>
        <w:rPr>
          <w:i/>
          <w:iCs/>
          <w:szCs w:val="22"/>
          <w:lang w:val="en" w:eastAsia="ja-JP"/>
        </w:rPr>
        <w:lastRenderedPageBreak/>
        <w:t xml:space="preserve">VR Manager approval is required for all recurring maintenance SAs. </w:t>
      </w:r>
    </w:p>
    <w:p w14:paraId="1ED74FE7" w14:textId="77777777" w:rsidR="001F7E32" w:rsidRPr="0054062B" w:rsidRDefault="001F7E32" w:rsidP="001F7E32">
      <w:pPr>
        <w:numPr>
          <w:ilvl w:val="0"/>
          <w:numId w:val="26"/>
        </w:numPr>
        <w:autoSpaceDE w:val="0"/>
        <w:autoSpaceDN w:val="0"/>
        <w:adjustRightInd w:val="0"/>
        <w:spacing w:line="259" w:lineRule="auto"/>
        <w:rPr>
          <w:i/>
          <w:iCs/>
          <w:szCs w:val="22"/>
          <w:lang w:val="en" w:eastAsia="ja-JP"/>
        </w:rPr>
      </w:pPr>
      <w:r>
        <w:rPr>
          <w:i/>
          <w:iCs/>
          <w:szCs w:val="22"/>
          <w:lang w:val="en" w:eastAsia="ja-JP"/>
        </w:rPr>
        <w:t xml:space="preserve">VR Manager approval is required for any additional maintenance services when a receipt is not turned in or it is determined that funds were not used for the intended purpose. </w:t>
      </w:r>
    </w:p>
    <w:p w14:paraId="452114E1" w14:textId="77777777" w:rsidR="001F7E32" w:rsidRDefault="001F7E32" w:rsidP="001F7E32">
      <w:pPr>
        <w:numPr>
          <w:ilvl w:val="0"/>
          <w:numId w:val="26"/>
        </w:numPr>
        <w:autoSpaceDE w:val="0"/>
        <w:autoSpaceDN w:val="0"/>
        <w:adjustRightInd w:val="0"/>
        <w:spacing w:line="259" w:lineRule="auto"/>
        <w:rPr>
          <w:i/>
          <w:iCs/>
          <w:szCs w:val="22"/>
          <w:lang w:val="en" w:eastAsia="ja-JP"/>
        </w:rPr>
      </w:pPr>
      <w:r>
        <w:rPr>
          <w:i/>
          <w:iCs/>
          <w:szCs w:val="22"/>
          <w:lang w:val="en" w:eastAsia="ja-JP"/>
        </w:rPr>
        <w:t xml:space="preserve">VR Manager approval is required for maintenance for MAPS goods and services – only when the vendor will not accept a TWC-VR SA. </w:t>
      </w:r>
    </w:p>
    <w:p w14:paraId="212ACBEA" w14:textId="51619073" w:rsidR="001F7E32" w:rsidRDefault="001F7E32" w:rsidP="001F7E32">
      <w:pPr>
        <w:numPr>
          <w:ilvl w:val="0"/>
          <w:numId w:val="26"/>
        </w:numPr>
        <w:autoSpaceDE w:val="0"/>
        <w:autoSpaceDN w:val="0"/>
        <w:adjustRightInd w:val="0"/>
        <w:spacing w:line="259" w:lineRule="auto"/>
        <w:rPr>
          <w:i/>
          <w:iCs/>
          <w:szCs w:val="22"/>
          <w:lang w:val="en" w:eastAsia="ja-JP"/>
        </w:rPr>
      </w:pPr>
      <w:bookmarkStart w:id="13" w:name="_Hlk165836462"/>
      <w:r>
        <w:rPr>
          <w:i/>
          <w:iCs/>
          <w:szCs w:val="22"/>
          <w:lang w:val="en" w:eastAsia="ja-JP"/>
        </w:rPr>
        <w:t>VR Manager approval is required for all short-term housing</w:t>
      </w:r>
      <w:r w:rsidR="001243D7">
        <w:rPr>
          <w:i/>
          <w:iCs/>
          <w:szCs w:val="22"/>
          <w:lang w:val="en" w:eastAsia="ja-JP"/>
        </w:rPr>
        <w:t xml:space="preserve"> maintenance</w:t>
      </w:r>
      <w:r>
        <w:rPr>
          <w:i/>
          <w:iCs/>
          <w:szCs w:val="22"/>
          <w:lang w:val="en" w:eastAsia="ja-JP"/>
        </w:rPr>
        <w:t xml:space="preserve"> and is limited to three-month increments (cumulatively or consecutively). </w:t>
      </w:r>
    </w:p>
    <w:p w14:paraId="01DD9120" w14:textId="77777777" w:rsidR="001F7E32" w:rsidRDefault="001F7E32" w:rsidP="001F7E32">
      <w:pPr>
        <w:numPr>
          <w:ilvl w:val="0"/>
          <w:numId w:val="26"/>
        </w:numPr>
        <w:autoSpaceDE w:val="0"/>
        <w:autoSpaceDN w:val="0"/>
        <w:adjustRightInd w:val="0"/>
        <w:spacing w:line="259" w:lineRule="auto"/>
        <w:rPr>
          <w:i/>
          <w:iCs/>
          <w:szCs w:val="22"/>
          <w:lang w:val="en" w:eastAsia="ja-JP"/>
        </w:rPr>
      </w:pPr>
      <w:r>
        <w:rPr>
          <w:i/>
          <w:iCs/>
          <w:szCs w:val="22"/>
          <w:lang w:val="en" w:eastAsia="ja-JP"/>
        </w:rPr>
        <w:t xml:space="preserve">VR Manager approval is required for continued maintenance for short-term housing provided to the </w:t>
      </w:r>
      <w:r w:rsidRPr="002722DD">
        <w:rPr>
          <w:i/>
          <w:iCs/>
          <w:szCs w:val="22"/>
          <w:lang w:val="en" w:eastAsia="ja-JP"/>
        </w:rPr>
        <w:t xml:space="preserve">customer </w:t>
      </w:r>
      <w:r>
        <w:rPr>
          <w:i/>
          <w:iCs/>
          <w:szCs w:val="22"/>
          <w:lang w:val="en" w:eastAsia="ja-JP"/>
        </w:rPr>
        <w:t>i</w:t>
      </w:r>
      <w:r w:rsidRPr="002722DD">
        <w:rPr>
          <w:i/>
          <w:iCs/>
          <w:szCs w:val="22"/>
          <w:lang w:val="en" w:eastAsia="ja-JP"/>
        </w:rPr>
        <w:t>f the landlord declines to be established as a provider for any reason, or if they have a hold through the State comptroller and cannot be paid, and no other acceptable options are available.</w:t>
      </w:r>
    </w:p>
    <w:bookmarkEnd w:id="13"/>
    <w:p w14:paraId="2C15262F" w14:textId="77777777" w:rsidR="001F7E32" w:rsidRPr="0054062B" w:rsidRDefault="001F7E32" w:rsidP="001F7E32">
      <w:pPr>
        <w:numPr>
          <w:ilvl w:val="0"/>
          <w:numId w:val="26"/>
        </w:numPr>
        <w:autoSpaceDE w:val="0"/>
        <w:autoSpaceDN w:val="0"/>
        <w:adjustRightInd w:val="0"/>
        <w:spacing w:line="259" w:lineRule="auto"/>
        <w:rPr>
          <w:i/>
          <w:iCs/>
          <w:szCs w:val="22"/>
          <w:lang w:val="en" w:eastAsia="ja-JP"/>
        </w:rPr>
      </w:pPr>
      <w:r w:rsidRPr="002722DD">
        <w:rPr>
          <w:i/>
          <w:iCs/>
          <w:szCs w:val="22"/>
          <w:lang w:val="en" w:eastAsia="ja-JP"/>
        </w:rPr>
        <w:t xml:space="preserve">VR </w:t>
      </w:r>
      <w:r>
        <w:rPr>
          <w:i/>
          <w:iCs/>
          <w:szCs w:val="22"/>
          <w:lang w:val="en" w:eastAsia="ja-JP"/>
        </w:rPr>
        <w:t>M</w:t>
      </w:r>
      <w:r w:rsidRPr="002722DD">
        <w:rPr>
          <w:i/>
          <w:iCs/>
          <w:szCs w:val="22"/>
          <w:lang w:val="en" w:eastAsia="ja-JP"/>
        </w:rPr>
        <w:t>anager approval is required before maintenance can be paid to the customer to purchase goods or services that have more specific purchasing processes and/or specifications available in the VRSM or RHW.</w:t>
      </w:r>
      <w:r>
        <w:rPr>
          <w:i/>
          <w:iCs/>
          <w:szCs w:val="22"/>
          <w:lang w:val="en" w:eastAsia="ja-JP"/>
        </w:rPr>
        <w:t xml:space="preserve"> </w:t>
      </w:r>
    </w:p>
    <w:p w14:paraId="42669D56" w14:textId="77777777" w:rsidR="001F7E32" w:rsidRDefault="001F7E32" w:rsidP="001F7E32">
      <w:pPr>
        <w:numPr>
          <w:ilvl w:val="0"/>
          <w:numId w:val="26"/>
        </w:numPr>
        <w:autoSpaceDE w:val="0"/>
        <w:autoSpaceDN w:val="0"/>
        <w:adjustRightInd w:val="0"/>
        <w:spacing w:line="259" w:lineRule="auto"/>
        <w:rPr>
          <w:i/>
          <w:iCs/>
          <w:szCs w:val="22"/>
          <w:lang w:val="en" w:eastAsia="ja-JP"/>
        </w:rPr>
      </w:pPr>
      <w:r w:rsidRPr="002722DD">
        <w:rPr>
          <w:i/>
          <w:iCs/>
        </w:rPr>
        <w:t xml:space="preserve">VR </w:t>
      </w:r>
      <w:r>
        <w:rPr>
          <w:i/>
          <w:iCs/>
        </w:rPr>
        <w:t>M</w:t>
      </w:r>
      <w:r w:rsidRPr="002722DD">
        <w:rPr>
          <w:i/>
          <w:iCs/>
        </w:rPr>
        <w:t>anager approval is required when an exception to exceed $55/week for the health insurance premiums for reoccurring maintenance services are deemed necessary.</w:t>
      </w:r>
      <w:r w:rsidRPr="002722DD">
        <w:rPr>
          <w:i/>
          <w:iCs/>
          <w:szCs w:val="22"/>
          <w:lang w:val="en" w:eastAsia="ja-JP"/>
        </w:rPr>
        <w:t xml:space="preserve"> </w:t>
      </w:r>
    </w:p>
    <w:p w14:paraId="75AEC8ED" w14:textId="77777777" w:rsidR="001F7E32" w:rsidRPr="008C4508" w:rsidRDefault="001F7E32" w:rsidP="001F7E32">
      <w:pPr>
        <w:numPr>
          <w:ilvl w:val="0"/>
          <w:numId w:val="26"/>
        </w:numPr>
        <w:autoSpaceDE w:val="0"/>
        <w:autoSpaceDN w:val="0"/>
        <w:adjustRightInd w:val="0"/>
        <w:spacing w:line="259" w:lineRule="auto"/>
        <w:rPr>
          <w:i/>
          <w:iCs/>
          <w:szCs w:val="22"/>
          <w:lang w:val="en" w:eastAsia="ja-JP"/>
        </w:rPr>
      </w:pPr>
      <w:r w:rsidRPr="003C7E41">
        <w:rPr>
          <w:i/>
          <w:iCs/>
        </w:rPr>
        <w:t xml:space="preserve">VR </w:t>
      </w:r>
      <w:r>
        <w:rPr>
          <w:i/>
          <w:iCs/>
        </w:rPr>
        <w:t>M</w:t>
      </w:r>
      <w:r w:rsidRPr="003C7E41">
        <w:rPr>
          <w:i/>
          <w:iCs/>
        </w:rPr>
        <w:t>anager approval is required for all nonrecurring maintenance that is equal to or greater than $400 for a single service authorization.</w:t>
      </w:r>
    </w:p>
    <w:p w14:paraId="4D5F2063" w14:textId="77777777" w:rsidR="001F7E32" w:rsidRPr="003C7E41" w:rsidRDefault="001F7E32" w:rsidP="001F7E32">
      <w:pPr>
        <w:numPr>
          <w:ilvl w:val="0"/>
          <w:numId w:val="26"/>
        </w:numPr>
        <w:autoSpaceDE w:val="0"/>
        <w:autoSpaceDN w:val="0"/>
        <w:adjustRightInd w:val="0"/>
        <w:spacing w:line="259" w:lineRule="auto"/>
        <w:rPr>
          <w:i/>
          <w:iCs/>
          <w:szCs w:val="22"/>
          <w:lang w:val="en" w:eastAsia="ja-JP"/>
        </w:rPr>
      </w:pPr>
      <w:r>
        <w:rPr>
          <w:i/>
          <w:iCs/>
          <w:szCs w:val="22"/>
          <w:lang w:val="en" w:eastAsia="ja-JP"/>
        </w:rPr>
        <w:t>VR Manager approval is required when exceptional circumstances result in the maintenance check or warrants being mailed to the TWC-VR office instead of directly to the customer.</w:t>
      </w:r>
    </w:p>
    <w:p w14:paraId="69FA69B7" w14:textId="4567795A" w:rsidR="001F7E32" w:rsidRPr="0072453C" w:rsidRDefault="001F7E32" w:rsidP="001F7E32">
      <w:pPr>
        <w:numPr>
          <w:ilvl w:val="0"/>
          <w:numId w:val="26"/>
        </w:numPr>
        <w:autoSpaceDE w:val="0"/>
        <w:autoSpaceDN w:val="0"/>
        <w:adjustRightInd w:val="0"/>
        <w:spacing w:line="259" w:lineRule="auto"/>
      </w:pPr>
      <w:r w:rsidRPr="0072453C">
        <w:rPr>
          <w:i/>
          <w:iCs/>
          <w:color w:val="000000" w:themeColor="text1"/>
        </w:rPr>
        <w:t>TWC-VR Executive Management approval is required before using any form of maintenance to cover the services listed as restricted in this policy</w:t>
      </w:r>
      <w:r w:rsidRPr="0072453C">
        <w:rPr>
          <w:color w:val="000000" w:themeColor="text1"/>
        </w:rPr>
        <w:t>.</w:t>
      </w:r>
      <w:r w:rsidRPr="0072453C">
        <w:rPr>
          <w:i/>
          <w:iCs/>
          <w:szCs w:val="22"/>
          <w:lang w:val="en" w:eastAsia="ja-JP"/>
        </w:rPr>
        <w:t xml:space="preserve"> </w:t>
      </w:r>
    </w:p>
    <w:p w14:paraId="32C67A5F" w14:textId="53C4940D" w:rsidR="00934027" w:rsidRDefault="00E13DCC" w:rsidP="00DF5CB7">
      <w:pPr>
        <w:pStyle w:val="Heading2"/>
      </w:pPr>
      <w:r>
        <w:t>REVIEW</w:t>
      </w:r>
    </w:p>
    <w:p w14:paraId="31E7B91B" w14:textId="77777777" w:rsidR="00D46FF4" w:rsidRPr="009D5287" w:rsidRDefault="00D46FF4" w:rsidP="00D46FF4">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D46FF4" w:rsidRPr="009D5287" w14:paraId="261B9062" w14:textId="77777777" w:rsidTr="0053287A">
        <w:tc>
          <w:tcPr>
            <w:tcW w:w="1861" w:type="dxa"/>
            <w:shd w:val="clear" w:color="auto" w:fill="F0F4FA" w:themeFill="accent4"/>
            <w:vAlign w:val="center"/>
          </w:tcPr>
          <w:p w14:paraId="21B508BE" w14:textId="77777777" w:rsidR="00D46FF4" w:rsidRPr="009D5287" w:rsidRDefault="00D46FF4" w:rsidP="0053287A">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391D22E3" w14:textId="77777777" w:rsidR="00D46FF4" w:rsidRPr="009D5287" w:rsidRDefault="00D46FF4" w:rsidP="0053287A">
            <w:pPr>
              <w:rPr>
                <w:b/>
                <w:lang w:val="en" w:eastAsia="ja-JP"/>
              </w:rPr>
            </w:pPr>
            <w:r w:rsidRPr="009D5287">
              <w:rPr>
                <w:b/>
                <w:lang w:val="en" w:eastAsia="ja-JP"/>
              </w:rPr>
              <w:t>Type</w:t>
            </w:r>
          </w:p>
        </w:tc>
        <w:tc>
          <w:tcPr>
            <w:tcW w:w="7350" w:type="dxa"/>
            <w:shd w:val="clear" w:color="auto" w:fill="F0F4FA" w:themeFill="accent4"/>
            <w:vAlign w:val="center"/>
          </w:tcPr>
          <w:p w14:paraId="2DD02B58" w14:textId="77777777" w:rsidR="00D46FF4" w:rsidRPr="009D5287" w:rsidRDefault="00D46FF4" w:rsidP="0053287A">
            <w:pPr>
              <w:rPr>
                <w:b/>
                <w:lang w:val="en" w:eastAsia="ja-JP"/>
              </w:rPr>
            </w:pPr>
            <w:r w:rsidRPr="009D5287">
              <w:rPr>
                <w:b/>
                <w:lang w:val="en" w:eastAsia="ja-JP"/>
              </w:rPr>
              <w:t>Change Description</w:t>
            </w:r>
          </w:p>
        </w:tc>
      </w:tr>
      <w:tr w:rsidR="00D46FF4" w:rsidRPr="009D5287" w14:paraId="56622666" w14:textId="77777777" w:rsidTr="0053287A">
        <w:tc>
          <w:tcPr>
            <w:tcW w:w="1861" w:type="dxa"/>
          </w:tcPr>
          <w:p w14:paraId="0A7EC909" w14:textId="77777777" w:rsidR="00D46FF4" w:rsidRPr="009D5287" w:rsidRDefault="00D46FF4" w:rsidP="0053287A">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3CF3120C" w14:textId="77777777" w:rsidR="00D46FF4" w:rsidRPr="009D5287" w:rsidRDefault="00D46FF4" w:rsidP="0053287A">
            <w:r w:rsidRPr="009D5287">
              <w:t>New</w:t>
            </w:r>
          </w:p>
        </w:tc>
        <w:tc>
          <w:tcPr>
            <w:tcW w:w="7350" w:type="dxa"/>
          </w:tcPr>
          <w:p w14:paraId="54081D8A" w14:textId="77777777" w:rsidR="00D46FF4" w:rsidRPr="009D5287" w:rsidRDefault="00D46FF4" w:rsidP="0053287A">
            <w:pPr>
              <w:rPr>
                <w:lang w:val="en" w:eastAsia="ja-JP"/>
              </w:rPr>
            </w:pPr>
            <w:r w:rsidRPr="009D5287">
              <w:t>VRSM Policy and Procedure Rewrite</w:t>
            </w:r>
          </w:p>
        </w:tc>
      </w:tr>
    </w:tbl>
    <w:p w14:paraId="0E680D25" w14:textId="77777777" w:rsidR="00D46FF4" w:rsidRPr="00E57035" w:rsidRDefault="00D46FF4" w:rsidP="00D46FF4">
      <w:pPr>
        <w:rPr>
          <w:color w:val="C00000"/>
        </w:rPr>
      </w:pPr>
    </w:p>
    <w:p w14:paraId="5EB73B5E" w14:textId="38DFADF3" w:rsidR="001901F0" w:rsidRPr="00E57035" w:rsidRDefault="001901F0" w:rsidP="00D46FF4">
      <w:pPr>
        <w:rPr>
          <w:color w:val="C00000"/>
        </w:rPr>
      </w:pPr>
    </w:p>
    <w:sectPr w:rsidR="001901F0" w:rsidRPr="00E57035" w:rsidSect="00F82376">
      <w:headerReference w:type="default" r:id="rId16"/>
      <w:footerReference w:type="default" r:id="rId17"/>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11B6" w14:textId="77777777" w:rsidR="00141289" w:rsidRDefault="00141289" w:rsidP="00895186">
      <w:r>
        <w:separator/>
      </w:r>
    </w:p>
  </w:endnote>
  <w:endnote w:type="continuationSeparator" w:id="0">
    <w:p w14:paraId="2191E863" w14:textId="77777777" w:rsidR="00141289" w:rsidRDefault="00141289"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BD17CB2" w:rsidR="00B24E6C" w:rsidRDefault="00DD271C" w:rsidP="00895186">
    <w:pPr>
      <w:pStyle w:val="Footer"/>
    </w:pPr>
    <w:r>
      <w:rPr>
        <w:noProof/>
      </w:rPr>
      <mc:AlternateContent>
        <mc:Choice Requires="wps">
          <w:drawing>
            <wp:anchor distT="0" distB="0" distL="114300" distR="114300" simplePos="0" relativeHeight="251661312" behindDoc="0" locked="0" layoutInCell="1" allowOverlap="1" wp14:anchorId="00B0B3F3" wp14:editId="45F0F8AC">
              <wp:simplePos x="0" y="0"/>
              <wp:positionH relativeFrom="column">
                <wp:posOffset>-377190</wp:posOffset>
              </wp:positionH>
              <wp:positionV relativeFrom="paragraph">
                <wp:posOffset>6350</wp:posOffset>
              </wp:positionV>
              <wp:extent cx="39573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957320" cy="488950"/>
                      </a:xfrm>
                      <a:prstGeom prst="rect">
                        <a:avLst/>
                      </a:prstGeom>
                      <a:noFill/>
                      <a:ln w="6350">
                        <a:noFill/>
                      </a:ln>
                    </wps:spPr>
                    <wps:txbx>
                      <w:txbxContent>
                        <w:p w14:paraId="25686EF3" w14:textId="663B529C" w:rsidR="00501E08" w:rsidRPr="00501E08" w:rsidRDefault="00DD271C" w:rsidP="00895186">
                          <w:r>
                            <w:t>Part C, Chapter 16.2: Maintenance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11.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" filled="f" stroked="f" strokeweight=".5pt">
              <v:textbox>
                <w:txbxContent>
                  <w:p w14:paraId="25686EF3" w14:textId="663B529C" w:rsidR="00501E08" w:rsidRPr="00501E08" w:rsidRDefault="00DD271C" w:rsidP="00895186">
                    <w:r>
                      <w:t>Part C, Chapter 16.2: Maintenance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FD5EAD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7AA5" w14:textId="77777777" w:rsidR="00141289" w:rsidRDefault="00141289" w:rsidP="00895186">
      <w:r>
        <w:separator/>
      </w:r>
    </w:p>
  </w:footnote>
  <w:footnote w:type="continuationSeparator" w:id="0">
    <w:p w14:paraId="03A7ACA5" w14:textId="77777777" w:rsidR="00141289" w:rsidRDefault="00141289" w:rsidP="00895186">
      <w:r>
        <w:continuationSeparator/>
      </w:r>
    </w:p>
  </w:footnote>
  <w:footnote w:id="1">
    <w:p w14:paraId="1066F530" w14:textId="77777777" w:rsidR="00DD271C" w:rsidRDefault="00DD271C" w:rsidP="00DD271C">
      <w:pPr>
        <w:pStyle w:val="FootnoteText"/>
      </w:pPr>
      <w:r>
        <w:rPr>
          <w:rStyle w:val="FootnoteReference"/>
        </w:rPr>
        <w:footnoteRef/>
      </w:r>
      <w:r>
        <w:t xml:space="preserve"> Receipts are for auditing purposes and do not need to be turned into TWC-VR with </w:t>
      </w:r>
      <w:r w:rsidRPr="00894CDA">
        <w:rPr>
          <w:i/>
          <w:iCs/>
        </w:rPr>
        <w:t>VR2180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3"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4"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26630B2"/>
    <w:multiLevelType w:val="hybridMultilevel"/>
    <w:tmpl w:val="223E0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D1B7272"/>
    <w:multiLevelType w:val="multilevel"/>
    <w:tmpl w:val="483487E4"/>
    <w:lvl w:ilvl="0">
      <w:start w:val="1"/>
      <w:numFmt w:val="upperLetter"/>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2"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5" w15:restartNumberingAfterBreak="0">
    <w:nsid w:val="7C4F3ACB"/>
    <w:multiLevelType w:val="hybridMultilevel"/>
    <w:tmpl w:val="457AEED4"/>
    <w:lvl w:ilvl="0" w:tplc="EBEEA4FE">
      <w:start w:val="1"/>
      <w:numFmt w:val="upperLetter"/>
      <w:pStyle w:val="ListwithBullets"/>
      <w:lvlText w:val="%1."/>
      <w:lvlJc w:val="left"/>
      <w:pPr>
        <w:ind w:left="504" w:hanging="360"/>
      </w:pPr>
      <w:rPr>
        <w:rFonts w:ascii="Arial" w:eastAsia="Times New Roman" w:hAnsi="Arial" w:cs="Calibri"/>
      </w:rPr>
    </w:lvl>
    <w:lvl w:ilvl="1" w:tplc="04090001">
      <w:start w:val="1"/>
      <w:numFmt w:val="bullet"/>
      <w:lvlText w:val=""/>
      <w:lvlJc w:val="left"/>
      <w:pPr>
        <w:ind w:left="1152" w:hanging="360"/>
      </w:pPr>
      <w:rPr>
        <w:rFonts w:ascii="Symbol" w:hAnsi="Symbol" w:hint="default"/>
      </w:rPr>
    </w:lvl>
    <w:lvl w:ilvl="2" w:tplc="5CFCB658">
      <w:start w:val="1"/>
      <w:numFmt w:val="bullet"/>
      <w:lvlText w:val=""/>
      <w:lvlJc w:val="left"/>
      <w:pPr>
        <w:ind w:left="1872" w:hanging="360"/>
      </w:pPr>
      <w:rPr>
        <w:rFonts w:ascii="Wingdings" w:hAnsi="Wingdings" w:hint="default"/>
      </w:rPr>
    </w:lvl>
    <w:lvl w:ilvl="3" w:tplc="4D785954">
      <w:start w:val="1"/>
      <w:numFmt w:val="bullet"/>
      <w:lvlText w:val=""/>
      <w:lvlJc w:val="left"/>
      <w:pPr>
        <w:ind w:left="2592" w:hanging="360"/>
      </w:pPr>
      <w:rPr>
        <w:rFonts w:ascii="Wingdings" w:hAnsi="Wingdings" w:hint="default"/>
      </w:rPr>
    </w:lvl>
    <w:lvl w:ilvl="4" w:tplc="4BC89416">
      <w:start w:val="1"/>
      <w:numFmt w:val="bullet"/>
      <w:lvlText w:val=""/>
      <w:lvlJc w:val="left"/>
      <w:pPr>
        <w:ind w:left="3312" w:hanging="360"/>
      </w:pPr>
      <w:rPr>
        <w:rFonts w:ascii="Wingdings" w:hAnsi="Wingdings" w:hint="default"/>
      </w:rPr>
    </w:lvl>
    <w:lvl w:ilvl="5" w:tplc="55786C76">
      <w:start w:val="1"/>
      <w:numFmt w:val="bullet"/>
      <w:lvlText w:val=""/>
      <w:lvlJc w:val="left"/>
      <w:pPr>
        <w:ind w:left="4104" w:hanging="360"/>
      </w:pPr>
      <w:rPr>
        <w:rFonts w:ascii="Symbol" w:hAnsi="Symbol" w:hint="default"/>
      </w:rPr>
    </w:lvl>
    <w:lvl w:ilvl="6" w:tplc="A9D01E88">
      <w:start w:val="1"/>
      <w:numFmt w:val="bullet"/>
      <w:lvlText w:val="o"/>
      <w:lvlJc w:val="left"/>
      <w:pPr>
        <w:ind w:left="4824" w:hanging="432"/>
      </w:pPr>
      <w:rPr>
        <w:rFonts w:ascii="Courier New" w:hAnsi="Courier New" w:hint="default"/>
      </w:rPr>
    </w:lvl>
    <w:lvl w:ilvl="7" w:tplc="418A9972">
      <w:start w:val="1"/>
      <w:numFmt w:val="bullet"/>
      <w:lvlText w:val=""/>
      <w:lvlJc w:val="left"/>
      <w:pPr>
        <w:ind w:left="5400" w:hanging="360"/>
      </w:pPr>
      <w:rPr>
        <w:rFonts w:ascii="Wingdings" w:hAnsi="Wingdings" w:hint="default"/>
      </w:rPr>
    </w:lvl>
    <w:lvl w:ilvl="8" w:tplc="04090005" w:tentative="1">
      <w:start w:val="1"/>
      <w:numFmt w:val="bullet"/>
      <w:lvlText w:val=""/>
      <w:lvlJc w:val="left"/>
      <w:pPr>
        <w:ind w:left="6120" w:hanging="360"/>
      </w:pPr>
      <w:rPr>
        <w:rFonts w:ascii="Wingdings" w:hAnsi="Wingdings" w:hint="default"/>
      </w:rPr>
    </w:lvl>
  </w:abstractNum>
  <w:num w:numId="1" w16cid:durableId="506289932">
    <w:abstractNumId w:val="19"/>
  </w:num>
  <w:num w:numId="2" w16cid:durableId="620455520">
    <w:abstractNumId w:val="0"/>
  </w:num>
  <w:num w:numId="3" w16cid:durableId="943148761">
    <w:abstractNumId w:val="15"/>
  </w:num>
  <w:num w:numId="4" w16cid:durableId="109056539">
    <w:abstractNumId w:val="29"/>
  </w:num>
  <w:num w:numId="5" w16cid:durableId="1893686843">
    <w:abstractNumId w:val="20"/>
  </w:num>
  <w:num w:numId="6" w16cid:durableId="760954600">
    <w:abstractNumId w:val="23"/>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4"/>
  </w:num>
  <w:num w:numId="12" w16cid:durableId="1548175440">
    <w:abstractNumId w:val="30"/>
  </w:num>
  <w:num w:numId="13" w16cid:durableId="975644156">
    <w:abstractNumId w:val="6"/>
  </w:num>
  <w:num w:numId="14" w16cid:durableId="2099713293">
    <w:abstractNumId w:val="17"/>
  </w:num>
  <w:num w:numId="15" w16cid:durableId="1594316770">
    <w:abstractNumId w:val="21"/>
  </w:num>
  <w:num w:numId="16" w16cid:durableId="700741873">
    <w:abstractNumId w:val="26"/>
  </w:num>
  <w:num w:numId="17" w16cid:durableId="1651835230">
    <w:abstractNumId w:val="16"/>
  </w:num>
  <w:num w:numId="18" w16cid:durableId="883299119">
    <w:abstractNumId w:val="28"/>
  </w:num>
  <w:num w:numId="19" w16cid:durableId="84305632">
    <w:abstractNumId w:val="11"/>
  </w:num>
  <w:num w:numId="20" w16cid:durableId="1057705478">
    <w:abstractNumId w:val="33"/>
  </w:num>
  <w:num w:numId="21" w16cid:durableId="96758055">
    <w:abstractNumId w:val="22"/>
  </w:num>
  <w:num w:numId="22" w16cid:durableId="722797963">
    <w:abstractNumId w:val="8"/>
  </w:num>
  <w:num w:numId="23" w16cid:durableId="1638485069">
    <w:abstractNumId w:val="14"/>
  </w:num>
  <w:num w:numId="24" w16cid:durableId="1439984590">
    <w:abstractNumId w:val="33"/>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4"/>
  </w:num>
  <w:num w:numId="32" w16cid:durableId="191573243">
    <w:abstractNumId w:val="25"/>
  </w:num>
  <w:num w:numId="33" w16cid:durableId="718751240">
    <w:abstractNumId w:val="3"/>
  </w:num>
  <w:num w:numId="34" w16cid:durableId="1367289556">
    <w:abstractNumId w:val="18"/>
  </w:num>
  <w:num w:numId="35" w16cid:durableId="1934777624">
    <w:abstractNumId w:val="10"/>
  </w:num>
  <w:num w:numId="36" w16cid:durableId="1647272484">
    <w:abstractNumId w:val="32"/>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807033">
    <w:abstractNumId w:val="31"/>
  </w:num>
  <w:num w:numId="40" w16cid:durableId="358703049">
    <w:abstractNumId w:val="35"/>
  </w:num>
  <w:num w:numId="41" w16cid:durableId="13798164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2518602">
    <w:abstractNumId w:val="27"/>
  </w:num>
  <w:num w:numId="43" w16cid:durableId="919100127">
    <w:abstractNumId w:val="35"/>
  </w:num>
  <w:num w:numId="44" w16cid:durableId="18561929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638BA"/>
    <w:rsid w:val="00094031"/>
    <w:rsid w:val="000A1F40"/>
    <w:rsid w:val="000B1231"/>
    <w:rsid w:val="000B3B97"/>
    <w:rsid w:val="000B6B09"/>
    <w:rsid w:val="000E34FB"/>
    <w:rsid w:val="00103782"/>
    <w:rsid w:val="001243D7"/>
    <w:rsid w:val="00133CB2"/>
    <w:rsid w:val="00141289"/>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1F7E32"/>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45B2A"/>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12645"/>
    <w:rsid w:val="00512F6B"/>
    <w:rsid w:val="005349DD"/>
    <w:rsid w:val="00537CCB"/>
    <w:rsid w:val="00555595"/>
    <w:rsid w:val="005735AB"/>
    <w:rsid w:val="0057562C"/>
    <w:rsid w:val="00580991"/>
    <w:rsid w:val="005820F2"/>
    <w:rsid w:val="00590E50"/>
    <w:rsid w:val="005A5B07"/>
    <w:rsid w:val="005B1174"/>
    <w:rsid w:val="005D431C"/>
    <w:rsid w:val="005E363C"/>
    <w:rsid w:val="005F0E52"/>
    <w:rsid w:val="00602597"/>
    <w:rsid w:val="006351A0"/>
    <w:rsid w:val="00663892"/>
    <w:rsid w:val="00671FE1"/>
    <w:rsid w:val="006822AE"/>
    <w:rsid w:val="00684E9F"/>
    <w:rsid w:val="006A60A2"/>
    <w:rsid w:val="006D108A"/>
    <w:rsid w:val="006D7231"/>
    <w:rsid w:val="006F605F"/>
    <w:rsid w:val="0070042E"/>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24DB"/>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C4B30"/>
    <w:rsid w:val="009F4153"/>
    <w:rsid w:val="00A001F3"/>
    <w:rsid w:val="00A276C5"/>
    <w:rsid w:val="00A4148F"/>
    <w:rsid w:val="00A53108"/>
    <w:rsid w:val="00A70A13"/>
    <w:rsid w:val="00A70A57"/>
    <w:rsid w:val="00A81DE6"/>
    <w:rsid w:val="00A91964"/>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46FF4"/>
    <w:rsid w:val="00D5593A"/>
    <w:rsid w:val="00D63A72"/>
    <w:rsid w:val="00D642BC"/>
    <w:rsid w:val="00D6606B"/>
    <w:rsid w:val="00D77322"/>
    <w:rsid w:val="00DA5511"/>
    <w:rsid w:val="00DB5FC8"/>
    <w:rsid w:val="00DC3298"/>
    <w:rsid w:val="00DC3C01"/>
    <w:rsid w:val="00DD271C"/>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DD271C"/>
    <w:rPr>
      <w:color w:val="9F3223" w:themeColor="hyperlink"/>
      <w:u w:val="single"/>
    </w:rPr>
  </w:style>
  <w:style w:type="paragraph" w:customStyle="1" w:styleId="ListwithBullets">
    <w:name w:val="List with Bullets"/>
    <w:link w:val="ListwithBulletsChar"/>
    <w:qFormat/>
    <w:rsid w:val="00DD271C"/>
    <w:pPr>
      <w:numPr>
        <w:numId w:val="40"/>
      </w:numPr>
      <w:spacing w:line="259" w:lineRule="auto"/>
    </w:pPr>
    <w:rPr>
      <w:rFonts w:ascii="Arial" w:eastAsia="Times New Roman" w:hAnsi="Arial" w:cs="Calibri"/>
      <w:color w:val="000000"/>
      <w:kern w:val="0"/>
      <w:szCs w:val="22"/>
      <w:lang w:val="en" w:eastAsia="ja-JP"/>
      <w14:ligatures w14:val="none"/>
    </w:rPr>
  </w:style>
  <w:style w:type="character" w:customStyle="1" w:styleId="ListwithBulletsChar">
    <w:name w:val="List with Bullets Char"/>
    <w:basedOn w:val="DefaultParagraphFont"/>
    <w:link w:val="ListwithBullets"/>
    <w:rsid w:val="00DD271C"/>
    <w:rPr>
      <w:rFonts w:ascii="Arial" w:eastAsia="Times New Roman" w:hAnsi="Arial" w:cs="Calibri"/>
      <w:color w:val="000000"/>
      <w:kern w:val="0"/>
      <w:szCs w:val="22"/>
      <w:lang w:val="en" w:eastAsia="ja-JP"/>
      <w14:ligatures w14:val="none"/>
    </w:rPr>
  </w:style>
  <w:style w:type="paragraph" w:styleId="FootnoteText">
    <w:name w:val="footnote text"/>
    <w:basedOn w:val="Normal"/>
    <w:link w:val="FootnoteTextChar"/>
    <w:uiPriority w:val="99"/>
    <w:semiHidden/>
    <w:unhideWhenUsed/>
    <w:rsid w:val="00DD271C"/>
    <w:pPr>
      <w:autoSpaceDE w:val="0"/>
      <w:autoSpaceDN w:val="0"/>
      <w:adjustRightInd w:val="0"/>
      <w:spacing w:before="0" w:after="0" w:line="240" w:lineRule="auto"/>
    </w:pPr>
    <w:rPr>
      <w:rFonts w:eastAsia="Times New Roman" w:cstheme="minorHAnsi"/>
      <w:color w:val="000000"/>
      <w:kern w:val="0"/>
      <w:sz w:val="20"/>
      <w:szCs w:val="20"/>
      <w14:ligatures w14:val="none"/>
    </w:rPr>
  </w:style>
  <w:style w:type="character" w:customStyle="1" w:styleId="FootnoteTextChar">
    <w:name w:val="Footnote Text Char"/>
    <w:basedOn w:val="DefaultParagraphFont"/>
    <w:link w:val="FootnoteText"/>
    <w:uiPriority w:val="99"/>
    <w:semiHidden/>
    <w:rsid w:val="00DD271C"/>
    <w:rPr>
      <w:rFonts w:ascii="Arial" w:eastAsia="Times New Roman" w:hAnsi="Arial" w:cstheme="minorHAnsi"/>
      <w:color w:val="000000"/>
      <w:kern w:val="0"/>
      <w:sz w:val="20"/>
      <w:szCs w:val="20"/>
      <w14:ligatures w14:val="none"/>
    </w:rPr>
  </w:style>
  <w:style w:type="character" w:styleId="FootnoteReference">
    <w:name w:val="footnote reference"/>
    <w:basedOn w:val="DefaultParagraphFont"/>
    <w:uiPriority w:val="99"/>
    <w:semiHidden/>
    <w:unhideWhenUsed/>
    <w:rsid w:val="00DD2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mx.cpa.texas.gov/fmx/travel/textravel/rates/current.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mailto:vr.rhw.providerservices@twc.texas.gov" TargetMode="External"/><Relationship Id="rId10" Type="http://schemas.openxmlformats.org/officeDocument/2006/relationships/hyperlink" Target="https://www.ecfr.gov/current/title-34/part-36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r.rhw.providerservice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49F2E-D7BB-4B12-A53B-26F7705B4379}">
  <ds:schemaRefs>
    <ds:schemaRef ds:uri="041c5daf-9d3a-4e9a-b660-f4ef0b4e5805"/>
    <ds:schemaRef ds:uri="58825e9e-cc90-40c0-979d-f08666619410"/>
    <ds:schemaRef ds:uri="6bfde61a-94c1-42db-b4d1-79e5b3c6adc0"/>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D1408CF-E37B-4FB9-876B-E8C315BB642B}">
  <ds:schemaRefs>
    <ds:schemaRef ds:uri="http://schemas.microsoft.com/sharepoint/v3/contenttype/forms"/>
  </ds:schemaRefs>
</ds:datastoreItem>
</file>

<file path=customXml/itemProps3.xml><?xml version="1.0" encoding="utf-8"?>
<ds:datastoreItem xmlns:ds="http://schemas.openxmlformats.org/officeDocument/2006/customXml" ds:itemID="{39E73DAD-711A-4747-9F89-D4F31C330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16.2 - Maintenance Services</dc:title>
  <dc:subject/>
  <dc:creator>TWC-VR</dc:creator>
  <cp:keywords>Texas Workforce Commission Vocational Rehabilitation Services Manual (VRSM) policy</cp:keywords>
  <dc:description/>
  <cp:lastModifiedBy>Martin-Hudson,Bonnie</cp:lastModifiedBy>
  <cp:revision>11</cp:revision>
  <dcterms:created xsi:type="dcterms:W3CDTF">2024-07-24T18:52:00Z</dcterms:created>
  <dcterms:modified xsi:type="dcterms:W3CDTF">2024-08-14T19:30:00Z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