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F69F475" w:rsidR="002A345C" w:rsidRPr="00D77322" w:rsidRDefault="00131081" w:rsidP="00337531">
      <w:pPr>
        <w:pStyle w:val="Heading1"/>
      </w:pPr>
      <w:r w:rsidRPr="00337531">
        <w:t>PART C, CHAPTER 10.7:</w:t>
      </w:r>
      <w:r w:rsidR="00337531">
        <w:br/>
      </w:r>
      <w:r>
        <w:t>OTHER EDUCATION AND TRAINING SERVICES</w:t>
      </w:r>
    </w:p>
    <w:tbl>
      <w:tblPr>
        <w:tblW w:w="9350" w:type="dxa"/>
        <w:tblLook w:val="04A0" w:firstRow="1" w:lastRow="0" w:firstColumn="1" w:lastColumn="0" w:noHBand="0" w:noVBand="1"/>
      </w:tblPr>
      <w:tblGrid>
        <w:gridCol w:w="2154"/>
        <w:gridCol w:w="1283"/>
        <w:gridCol w:w="4648"/>
        <w:gridCol w:w="1274"/>
      </w:tblGrid>
      <w:tr w:rsidR="008621B5" w:rsidRPr="008621B5" w14:paraId="7A6A9EC4" w14:textId="77777777" w:rsidTr="008621B5">
        <w:trPr>
          <w:trHeight w:val="315"/>
        </w:trPr>
        <w:tc>
          <w:tcPr>
            <w:tcW w:w="2154"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B5976AB" w14:textId="77777777" w:rsidR="008621B5" w:rsidRPr="008621B5" w:rsidRDefault="008621B5" w:rsidP="008621B5">
            <w:pPr>
              <w:spacing w:before="0" w:after="0" w:line="240" w:lineRule="auto"/>
              <w:rPr>
                <w:rFonts w:eastAsia="Times New Roman"/>
                <w:b/>
                <w:bCs/>
                <w:color w:val="000000"/>
                <w:kern w:val="0"/>
                <w14:ligatures w14:val="none"/>
              </w:rPr>
            </w:pPr>
            <w:r w:rsidRPr="008621B5">
              <w:rPr>
                <w:rFonts w:eastAsia="Times New Roman"/>
                <w:b/>
                <w:bCs/>
                <w:color w:val="000000"/>
                <w:kern w:val="0"/>
                <w:lang w:val="en" w:eastAsia="ja-JP"/>
                <w14:ligatures w14:val="none"/>
              </w:rPr>
              <w:t>Policy Number</w:t>
            </w:r>
          </w:p>
        </w:tc>
        <w:tc>
          <w:tcPr>
            <w:tcW w:w="1274" w:type="dxa"/>
            <w:tcBorders>
              <w:top w:val="single" w:sz="4" w:space="0" w:color="auto"/>
              <w:left w:val="nil"/>
              <w:bottom w:val="single" w:sz="4" w:space="0" w:color="auto"/>
              <w:right w:val="single" w:sz="4" w:space="0" w:color="auto"/>
            </w:tcBorders>
            <w:shd w:val="clear" w:color="000000" w:fill="F0F4FA"/>
            <w:noWrap/>
            <w:vAlign w:val="bottom"/>
            <w:hideMark/>
          </w:tcPr>
          <w:p w14:paraId="022A444A" w14:textId="77777777" w:rsidR="008621B5" w:rsidRPr="008621B5" w:rsidRDefault="008621B5" w:rsidP="008621B5">
            <w:pPr>
              <w:spacing w:before="0" w:after="0" w:line="240" w:lineRule="auto"/>
              <w:rPr>
                <w:rFonts w:eastAsia="Times New Roman"/>
                <w:b/>
                <w:bCs/>
                <w:color w:val="000000"/>
                <w:kern w:val="0"/>
                <w14:ligatures w14:val="none"/>
              </w:rPr>
            </w:pPr>
            <w:r w:rsidRPr="008621B5">
              <w:rPr>
                <w:rFonts w:eastAsia="Times New Roman"/>
                <w:b/>
                <w:bCs/>
                <w:color w:val="000000"/>
                <w:kern w:val="0"/>
                <w:lang w:val="en" w:eastAsia="ja-JP"/>
                <w14:ligatures w14:val="none"/>
              </w:rPr>
              <w:t>Authority</w:t>
            </w:r>
          </w:p>
        </w:tc>
        <w:tc>
          <w:tcPr>
            <w:tcW w:w="4648" w:type="dxa"/>
            <w:tcBorders>
              <w:top w:val="single" w:sz="4" w:space="0" w:color="auto"/>
              <w:left w:val="nil"/>
              <w:bottom w:val="single" w:sz="4" w:space="0" w:color="auto"/>
              <w:right w:val="single" w:sz="4" w:space="0" w:color="auto"/>
            </w:tcBorders>
            <w:shd w:val="clear" w:color="000000" w:fill="F0F4FA"/>
            <w:noWrap/>
            <w:vAlign w:val="bottom"/>
            <w:hideMark/>
          </w:tcPr>
          <w:p w14:paraId="2A8A8E00" w14:textId="77777777" w:rsidR="008621B5" w:rsidRPr="008621B5" w:rsidRDefault="008621B5" w:rsidP="008621B5">
            <w:pPr>
              <w:spacing w:before="0" w:after="0" w:line="240" w:lineRule="auto"/>
              <w:rPr>
                <w:rFonts w:eastAsia="Times New Roman"/>
                <w:b/>
                <w:bCs/>
                <w:color w:val="000000"/>
                <w:kern w:val="0"/>
                <w14:ligatures w14:val="none"/>
              </w:rPr>
            </w:pPr>
            <w:r w:rsidRPr="008621B5">
              <w:rPr>
                <w:rFonts w:eastAsia="Times New Roman"/>
                <w:b/>
                <w:bCs/>
                <w:color w:val="000000"/>
                <w:kern w:val="0"/>
                <w:lang w:val="en" w:eastAsia="ja-JP"/>
                <w14:ligatures w14:val="none"/>
              </w:rPr>
              <w:t xml:space="preserve">Scope </w:t>
            </w:r>
          </w:p>
        </w:tc>
        <w:tc>
          <w:tcPr>
            <w:tcW w:w="1274" w:type="dxa"/>
            <w:tcBorders>
              <w:top w:val="single" w:sz="4" w:space="0" w:color="auto"/>
              <w:left w:val="nil"/>
              <w:bottom w:val="single" w:sz="4" w:space="0" w:color="auto"/>
              <w:right w:val="single" w:sz="4" w:space="0" w:color="auto"/>
            </w:tcBorders>
            <w:shd w:val="clear" w:color="000000" w:fill="F0F4FA"/>
            <w:noWrap/>
            <w:vAlign w:val="bottom"/>
            <w:hideMark/>
          </w:tcPr>
          <w:p w14:paraId="20766E1A" w14:textId="77777777" w:rsidR="008621B5" w:rsidRPr="008621B5" w:rsidRDefault="008621B5" w:rsidP="008621B5">
            <w:pPr>
              <w:spacing w:before="0" w:after="0" w:line="240" w:lineRule="auto"/>
              <w:rPr>
                <w:rFonts w:eastAsia="Times New Roman"/>
                <w:b/>
                <w:bCs/>
                <w:color w:val="000000"/>
                <w:kern w:val="0"/>
                <w14:ligatures w14:val="none"/>
              </w:rPr>
            </w:pPr>
            <w:r w:rsidRPr="008621B5">
              <w:rPr>
                <w:rFonts w:eastAsia="Times New Roman"/>
                <w:b/>
                <w:bCs/>
                <w:color w:val="000000"/>
                <w:kern w:val="0"/>
                <w:lang w:val="en" w:eastAsia="ja-JP"/>
                <w14:ligatures w14:val="none"/>
              </w:rPr>
              <w:t>Effective Date</w:t>
            </w:r>
          </w:p>
        </w:tc>
      </w:tr>
      <w:tr w:rsidR="008621B5" w:rsidRPr="008621B5" w14:paraId="1582044E" w14:textId="77777777" w:rsidTr="008621B5">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6759BA0D" w14:textId="77777777" w:rsidR="008621B5" w:rsidRPr="008621B5" w:rsidRDefault="008621B5" w:rsidP="008621B5">
            <w:pPr>
              <w:spacing w:before="0" w:after="0" w:line="240" w:lineRule="auto"/>
              <w:rPr>
                <w:rFonts w:eastAsia="Times New Roman"/>
                <w:color w:val="000000"/>
                <w:kern w:val="0"/>
                <w14:ligatures w14:val="none"/>
              </w:rPr>
            </w:pPr>
            <w:r w:rsidRPr="008621B5">
              <w:rPr>
                <w:rFonts w:eastAsia="Times New Roman"/>
                <w:color w:val="000000"/>
                <w:kern w:val="0"/>
                <w:lang w:val="en" w:eastAsia="ja-JP"/>
                <w14:ligatures w14:val="none"/>
              </w:rPr>
              <w:t>Part C, Chapter 10.7</w:t>
            </w:r>
          </w:p>
        </w:tc>
        <w:tc>
          <w:tcPr>
            <w:tcW w:w="1274" w:type="dxa"/>
            <w:tcBorders>
              <w:top w:val="nil"/>
              <w:left w:val="nil"/>
              <w:bottom w:val="single" w:sz="4" w:space="0" w:color="auto"/>
              <w:right w:val="single" w:sz="4" w:space="0" w:color="auto"/>
            </w:tcBorders>
            <w:shd w:val="clear" w:color="auto" w:fill="auto"/>
            <w:noWrap/>
            <w:vAlign w:val="bottom"/>
            <w:hideMark/>
          </w:tcPr>
          <w:p w14:paraId="78437C15" w14:textId="77777777" w:rsidR="008621B5" w:rsidRPr="008621B5" w:rsidRDefault="008621B5" w:rsidP="008621B5">
            <w:pPr>
              <w:spacing w:before="0" w:after="0" w:line="240" w:lineRule="auto"/>
              <w:rPr>
                <w:rFonts w:eastAsia="Times New Roman"/>
                <w:color w:val="000000"/>
                <w:kern w:val="0"/>
                <w14:ligatures w14:val="none"/>
              </w:rPr>
            </w:pPr>
            <w:r w:rsidRPr="008621B5">
              <w:rPr>
                <w:rFonts w:eastAsia="Times New Roman"/>
                <w:color w:val="000000"/>
                <w:kern w:val="0"/>
                <w14:ligatures w14:val="none"/>
              </w:rPr>
              <w:t>N/A</w:t>
            </w:r>
          </w:p>
        </w:tc>
        <w:tc>
          <w:tcPr>
            <w:tcW w:w="4648" w:type="dxa"/>
            <w:tcBorders>
              <w:top w:val="nil"/>
              <w:left w:val="nil"/>
              <w:bottom w:val="single" w:sz="4" w:space="0" w:color="auto"/>
              <w:right w:val="single" w:sz="4" w:space="0" w:color="auto"/>
            </w:tcBorders>
            <w:shd w:val="clear" w:color="auto" w:fill="auto"/>
            <w:noWrap/>
            <w:vAlign w:val="bottom"/>
            <w:hideMark/>
          </w:tcPr>
          <w:p w14:paraId="4FFC1908" w14:textId="77777777" w:rsidR="008621B5" w:rsidRPr="008621B5" w:rsidRDefault="008621B5" w:rsidP="008621B5">
            <w:pPr>
              <w:spacing w:before="0" w:after="0" w:line="240" w:lineRule="auto"/>
              <w:rPr>
                <w:rFonts w:eastAsia="Times New Roman"/>
                <w:color w:val="000000"/>
                <w:kern w:val="0"/>
                <w14:ligatures w14:val="none"/>
              </w:rPr>
            </w:pPr>
            <w:r w:rsidRPr="008621B5">
              <w:rPr>
                <w:rFonts w:eastAsia="Times New Roman"/>
                <w:color w:val="000000"/>
                <w:kern w:val="0"/>
                <w14:ligatures w14:val="none"/>
              </w:rPr>
              <w:t>All TWC-VR staff, particularly VR Counselors</w:t>
            </w:r>
          </w:p>
        </w:tc>
        <w:tc>
          <w:tcPr>
            <w:tcW w:w="1274" w:type="dxa"/>
            <w:tcBorders>
              <w:top w:val="nil"/>
              <w:left w:val="nil"/>
              <w:bottom w:val="single" w:sz="4" w:space="0" w:color="auto"/>
              <w:right w:val="single" w:sz="4" w:space="0" w:color="auto"/>
            </w:tcBorders>
            <w:shd w:val="clear" w:color="auto" w:fill="auto"/>
            <w:noWrap/>
            <w:vAlign w:val="bottom"/>
            <w:hideMark/>
          </w:tcPr>
          <w:p w14:paraId="155914DC" w14:textId="77777777" w:rsidR="008621B5" w:rsidRPr="008621B5" w:rsidRDefault="008621B5" w:rsidP="008621B5">
            <w:pPr>
              <w:spacing w:before="0" w:after="0" w:line="240" w:lineRule="auto"/>
              <w:jc w:val="right"/>
              <w:rPr>
                <w:rFonts w:eastAsia="Times New Roman"/>
                <w:color w:val="000000"/>
                <w:kern w:val="0"/>
                <w14:ligatures w14:val="none"/>
              </w:rPr>
            </w:pPr>
            <w:r w:rsidRPr="008621B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4792211" w14:textId="77777777" w:rsidR="00131081" w:rsidRPr="00DC5EBA" w:rsidRDefault="00131081" w:rsidP="00131081">
      <w:pPr>
        <w:spacing w:after="240"/>
      </w:pPr>
      <w:r w:rsidRPr="00DC5EBA">
        <w:t xml:space="preserve">Specifically, the purpose of this policy and these procedures is to ensure adherence to </w:t>
      </w:r>
      <w:r>
        <w:t>the provision of other education and training programs not specifically outlined in other policies.</w:t>
      </w:r>
    </w:p>
    <w:p w14:paraId="077D4BD0" w14:textId="0E0D9B4E" w:rsidR="00F04098" w:rsidRDefault="00A001F3" w:rsidP="0033181C">
      <w:pPr>
        <w:pStyle w:val="Heading2"/>
      </w:pPr>
      <w:r>
        <w:t>DEFINITIONS</w:t>
      </w:r>
    </w:p>
    <w:p w14:paraId="1F2612AC" w14:textId="77777777" w:rsidR="00131081" w:rsidRDefault="00131081" w:rsidP="00131081">
      <w:r w:rsidRPr="007A634C">
        <w:rPr>
          <w:u w:val="single"/>
        </w:rPr>
        <w:t>Informed Choice</w:t>
      </w:r>
      <w:r w:rsidRPr="007A634C">
        <w:t xml:space="preserve">: The means by which a customer chooses their rehabilitation path, from options based on their needs and circumstances and the VR program's rules, as it relates to </w:t>
      </w:r>
      <w:r w:rsidRPr="00F052FB">
        <w:t>choosing education and training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60EB000" w14:textId="77777777" w:rsidR="00131081" w:rsidRDefault="00131081" w:rsidP="00131081">
      <w:pPr>
        <w:autoSpaceDE w:val="0"/>
        <w:autoSpaceDN w:val="0"/>
        <w:adjustRightInd w:val="0"/>
      </w:pPr>
      <w:r>
        <w:t xml:space="preserve">TWC-VR provides </w:t>
      </w:r>
      <w:r w:rsidRPr="00592C6B">
        <w:t xml:space="preserve">education and training services </w:t>
      </w:r>
      <w:r>
        <w:t xml:space="preserve">that do not fall under one of the main training categories but may be </w:t>
      </w:r>
      <w:r w:rsidRPr="00592C6B">
        <w:t>available to TWC-VR customers.</w:t>
      </w:r>
      <w:r>
        <w:t xml:space="preserve"> </w:t>
      </w:r>
      <w:r w:rsidRPr="00592C6B">
        <w:t>TWC-VR provides individualized services</w:t>
      </w:r>
      <w:r>
        <w:t>,</w:t>
      </w:r>
      <w:r w:rsidRPr="00592C6B">
        <w:t xml:space="preserve"> which include the provision of education and training services necessary to meet the unique needs of the customer, including their strengths, resources, priorities, concerns, abilities, capabilities, interests, and informed choice.</w:t>
      </w:r>
    </w:p>
    <w:p w14:paraId="6DCD7B56" w14:textId="77777777" w:rsidR="00131081" w:rsidRPr="00131081" w:rsidRDefault="00131081" w:rsidP="00131081">
      <w:pPr>
        <w:pStyle w:val="Heading3"/>
      </w:pPr>
      <w:bookmarkStart w:id="0" w:name="_Hlk162856317"/>
      <w:bookmarkStart w:id="1" w:name="_Hlk162890697"/>
      <w:r w:rsidRPr="00F350D7">
        <w:t>Recognized Credentials and Measurable Skill Gains (MSG)</w:t>
      </w:r>
    </w:p>
    <w:p w14:paraId="4C82A1FA" w14:textId="2FFF3CD5" w:rsidR="00131081" w:rsidRPr="00F350D7" w:rsidRDefault="00131081" w:rsidP="00131081">
      <w:pPr>
        <w:autoSpaceDE w:val="0"/>
        <w:autoSpaceDN w:val="0"/>
        <w:adjustRightInd w:val="0"/>
      </w:pPr>
      <w:r>
        <w:t>Education and training services may result in MSGs (e.g., report card, training progress) and a recognized credential (e.g., bachelor’s degree, vocational license). All credentials and MSGs achieved during participation in TWC-VR services must be entered in the Education History page in RHW.</w:t>
      </w:r>
    </w:p>
    <w:bookmarkEnd w:id="0"/>
    <w:bookmarkEnd w:id="1"/>
    <w:p w14:paraId="4A8CD394" w14:textId="7AE0C58B" w:rsidR="00131081" w:rsidRPr="009E4DC5" w:rsidRDefault="00131081" w:rsidP="00131081">
      <w:pPr>
        <w:pStyle w:val="Heading3"/>
      </w:pPr>
      <w:r w:rsidRPr="009E4DC5">
        <w:lastRenderedPageBreak/>
        <w:t>Additional Policy Considerations</w:t>
      </w:r>
    </w:p>
    <w:p w14:paraId="179DB3DA" w14:textId="77777777" w:rsidR="00131081" w:rsidRPr="002930E4" w:rsidRDefault="00131081" w:rsidP="00131081">
      <w:pPr>
        <w:pStyle w:val="ListBulleted"/>
      </w:pPr>
      <w:bookmarkStart w:id="2" w:name="_Hlk169821941"/>
      <w:bookmarkStart w:id="3" w:name="_Hlk170179930"/>
      <w:r w:rsidRPr="002930E4">
        <w:rPr>
          <w:u w:val="single"/>
        </w:rPr>
        <w:t>Comparable Services and Benefits</w:t>
      </w:r>
      <w:r w:rsidRPr="002930E4">
        <w:t xml:space="preserve">: </w:t>
      </w:r>
      <w:bookmarkStart w:id="4" w:name="_Hlk170398290"/>
      <w:r w:rsidRPr="002930E4">
        <w:t xml:space="preserve">TWC-VR must not expend funds on education and training </w:t>
      </w:r>
      <w:bookmarkStart w:id="5" w:name="_Hlk170399608"/>
      <w:r w:rsidRPr="002930E4">
        <w:t>services</w:t>
      </w:r>
      <w:bookmarkStart w:id="6" w:name="_Hlk169819439"/>
      <w:r w:rsidRPr="002930E4">
        <w:t xml:space="preserve"> unless the VR counselor and the customer have made maximum efforts to secure comparable services and benefits from other sources to pay for services.</w:t>
      </w:r>
      <w:bookmarkEnd w:id="4"/>
      <w:bookmarkEnd w:id="5"/>
      <w:bookmarkEnd w:id="6"/>
    </w:p>
    <w:p w14:paraId="180978EE" w14:textId="77777777" w:rsidR="00131081" w:rsidRPr="002930E4" w:rsidRDefault="00131081" w:rsidP="00131081">
      <w:pPr>
        <w:pStyle w:val="ListBulleted"/>
      </w:pPr>
      <w:bookmarkStart w:id="7" w:name="_Hlk170399640"/>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3E7107EB" w14:textId="77777777" w:rsidR="00131081" w:rsidRPr="002930E4" w:rsidRDefault="00131081" w:rsidP="00131081">
      <w:pPr>
        <w:pStyle w:val="ListBulleted"/>
      </w:pPr>
      <w:bookmarkStart w:id="8" w:name="_Hlk169817564"/>
      <w:bookmarkEnd w:id="2"/>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1149AAD3" w14:textId="77777777" w:rsidR="00131081" w:rsidRPr="002930E4" w:rsidRDefault="00131081" w:rsidP="00131081">
      <w:pPr>
        <w:pStyle w:val="ListBulleted"/>
      </w:pPr>
      <w:bookmarkStart w:id="9" w:name="_Hlk162890515"/>
      <w:r w:rsidRPr="002930E4">
        <w:rPr>
          <w:u w:val="single"/>
        </w:rPr>
        <w:t>Exceptions to Policy</w:t>
      </w:r>
      <w:r w:rsidRPr="002930E4">
        <w:t xml:space="preserve">: </w:t>
      </w:r>
      <w:bookmarkStart w:id="10"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3"/>
    <w:bookmarkEnd w:id="7"/>
    <w:bookmarkEnd w:id="8"/>
    <w:p w14:paraId="11E48025" w14:textId="511E42FF" w:rsidR="00934027" w:rsidRDefault="00145D80" w:rsidP="00CF06B7">
      <w:pPr>
        <w:pStyle w:val="Heading2"/>
      </w:pPr>
      <w:r>
        <w:t>PROCEDURES</w:t>
      </w:r>
    </w:p>
    <w:p w14:paraId="3BF5E84A" w14:textId="686542C2" w:rsidR="000538A8" w:rsidRDefault="00131081" w:rsidP="00896AC1">
      <w:pPr>
        <w:pStyle w:val="Heading3"/>
        <w:numPr>
          <w:ilvl w:val="0"/>
          <w:numId w:val="37"/>
        </w:numPr>
      </w:pPr>
      <w:r w:rsidRPr="00592C6B">
        <w:t>Determining the Need for Other Education and Training Services</w:t>
      </w:r>
    </w:p>
    <w:p w14:paraId="31F7213F" w14:textId="0FBF0723" w:rsidR="00131081" w:rsidRPr="00592C6B" w:rsidRDefault="00131081" w:rsidP="00131081">
      <w:pPr>
        <w:autoSpaceDE w:val="0"/>
        <w:autoSpaceDN w:val="0"/>
        <w:adjustRightInd w:val="0"/>
      </w:pPr>
      <w:r w:rsidRPr="00592C6B">
        <w:t>Other training must specifically meet the customer’s rehabilitation needs and be consistent with the goals in the Individualized Plan for Employment (IPE).</w:t>
      </w:r>
    </w:p>
    <w:p w14:paraId="70C341F4" w14:textId="77777777" w:rsidR="00131081" w:rsidRPr="00592C6B" w:rsidRDefault="00131081" w:rsidP="00131081">
      <w:r w:rsidRPr="00592C6B">
        <w:t>Other training services may include instruction in the following areas:</w:t>
      </w:r>
    </w:p>
    <w:p w14:paraId="0DC62634" w14:textId="77777777" w:rsidR="00131081" w:rsidRPr="00592C6B" w:rsidRDefault="00131081" w:rsidP="00131081">
      <w:pPr>
        <w:pStyle w:val="ListBulleted"/>
      </w:pPr>
      <w:r w:rsidRPr="00592C6B">
        <w:t>Basic reading, writing, and math</w:t>
      </w:r>
      <w:r>
        <w:t>;</w:t>
      </w:r>
    </w:p>
    <w:p w14:paraId="05B45669" w14:textId="77777777" w:rsidR="00131081" w:rsidRPr="00592C6B" w:rsidRDefault="00131081" w:rsidP="00131081">
      <w:pPr>
        <w:pStyle w:val="ListBulleted"/>
      </w:pPr>
      <w:r>
        <w:t>H</w:t>
      </w:r>
      <w:r w:rsidRPr="00592C6B">
        <w:t xml:space="preserve">igh school equivalency assessment </w:t>
      </w:r>
      <w:r>
        <w:t xml:space="preserve">preparation </w:t>
      </w:r>
      <w:r w:rsidRPr="00592C6B">
        <w:t>approved by the Texas Education Agency (TEA) (i.e., GED test, HiSET exam, or TASC test)</w:t>
      </w:r>
      <w:r>
        <w:t>;</w:t>
      </w:r>
    </w:p>
    <w:p w14:paraId="7263B27D" w14:textId="77777777" w:rsidR="00131081" w:rsidRPr="00592C6B" w:rsidRDefault="00131081" w:rsidP="00131081">
      <w:pPr>
        <w:pStyle w:val="ListBulleted"/>
      </w:pPr>
      <w:r w:rsidRPr="00592C6B">
        <w:t>English as a second language</w:t>
      </w:r>
      <w:r>
        <w:t>;</w:t>
      </w:r>
    </w:p>
    <w:p w14:paraId="75C35606" w14:textId="77777777" w:rsidR="00131081" w:rsidRPr="00592C6B" w:rsidRDefault="00131081" w:rsidP="00131081">
      <w:pPr>
        <w:pStyle w:val="ListBulleted"/>
      </w:pPr>
      <w:r w:rsidRPr="00592C6B">
        <w:t>High school credit courses</w:t>
      </w:r>
      <w:r>
        <w:t>;</w:t>
      </w:r>
    </w:p>
    <w:p w14:paraId="61C824AE" w14:textId="77777777" w:rsidR="00131081" w:rsidRDefault="00131081" w:rsidP="00131081">
      <w:pPr>
        <w:pStyle w:val="ListBulleted"/>
      </w:pPr>
      <w:r w:rsidRPr="00592C6B">
        <w:t>Meeting adult continuing education objectives below the college credit level</w:t>
      </w:r>
      <w:r>
        <w:t>;</w:t>
      </w:r>
    </w:p>
    <w:p w14:paraId="563414D4" w14:textId="77777777" w:rsidR="00131081" w:rsidRPr="00D64D35" w:rsidRDefault="00131081" w:rsidP="00131081">
      <w:pPr>
        <w:pStyle w:val="ListBulleted"/>
      </w:pPr>
      <w:r w:rsidRPr="00D64D35">
        <w:t>Driver training;</w:t>
      </w:r>
    </w:p>
    <w:p w14:paraId="270FFF41" w14:textId="77777777" w:rsidR="00131081" w:rsidRPr="00D64D35" w:rsidRDefault="00131081" w:rsidP="00131081">
      <w:pPr>
        <w:pStyle w:val="ListBulleted"/>
      </w:pPr>
      <w:r w:rsidRPr="00D64D35">
        <w:t>Postsecondary education programs not at the college credit level;</w:t>
      </w:r>
    </w:p>
    <w:p w14:paraId="2BC02C38" w14:textId="77777777" w:rsidR="00131081" w:rsidRPr="00D64D35" w:rsidRDefault="00131081" w:rsidP="00131081">
      <w:pPr>
        <w:pStyle w:val="ListBulleted"/>
      </w:pPr>
      <w:r w:rsidRPr="00D64D35">
        <w:t>The educational prerequisites for vocational skills training;</w:t>
      </w:r>
    </w:p>
    <w:p w14:paraId="066D1E63" w14:textId="77777777" w:rsidR="00131081" w:rsidRPr="00F350D7" w:rsidRDefault="00000000" w:rsidP="00131081">
      <w:pPr>
        <w:pStyle w:val="ListBulleted"/>
      </w:pPr>
      <w:hyperlink r:id="rId10" w:history="1">
        <w:r w:rsidR="00131081" w:rsidRPr="00D64D35">
          <w:rPr>
            <w:rStyle w:val="Hyperlink"/>
          </w:rPr>
          <w:t>Teacher alternative certification program approved and accredited by TEA;</w:t>
        </w:r>
      </w:hyperlink>
    </w:p>
    <w:p w14:paraId="23337EBA" w14:textId="77777777" w:rsidR="00131081" w:rsidRPr="00D64D35" w:rsidRDefault="00000000" w:rsidP="00131081">
      <w:pPr>
        <w:pStyle w:val="ListBulleted"/>
      </w:pPr>
      <w:hyperlink r:id="rId11" w:history="1">
        <w:r w:rsidR="00131081" w:rsidRPr="00D64D35">
          <w:rPr>
            <w:rStyle w:val="Hyperlink"/>
          </w:rPr>
          <w:t>Educator Preparation Programs (EPPs) approved and accredited by TEA;</w:t>
        </w:r>
      </w:hyperlink>
      <w:hyperlink r:id="rId12" w:history="1">
        <w:r w:rsidR="00131081" w:rsidRPr="00D64D35">
          <w:rPr>
            <w:rStyle w:val="Hyperlink"/>
          </w:rPr>
          <w:t xml:space="preserve"> </w:t>
        </w:r>
      </w:hyperlink>
    </w:p>
    <w:p w14:paraId="09917958" w14:textId="77777777" w:rsidR="00131081" w:rsidRPr="00D64D35" w:rsidRDefault="00131081" w:rsidP="00131081">
      <w:pPr>
        <w:pStyle w:val="ListBulleted"/>
      </w:pPr>
      <w:r w:rsidRPr="00D64D35">
        <w:t>Communication training for the deaf; and</w:t>
      </w:r>
    </w:p>
    <w:p w14:paraId="2CE8DB4B" w14:textId="77777777" w:rsidR="00131081" w:rsidRPr="00F350D7" w:rsidRDefault="00131081" w:rsidP="00131081">
      <w:pPr>
        <w:pStyle w:val="ListBulleted"/>
      </w:pPr>
      <w:r w:rsidRPr="00D64D35">
        <w:t>Coping strategies training for the deaf or hard of hearing and blind.</w:t>
      </w:r>
    </w:p>
    <w:p w14:paraId="7C319A2B" w14:textId="77777777" w:rsidR="00131081" w:rsidRPr="00592C6B" w:rsidRDefault="00131081" w:rsidP="00131081">
      <w:r w:rsidRPr="00592C6B">
        <w:t>For other Education and Training services, the requirement to seek comparable services and benefits and the customer financial participation (BLR) policies and procedures apply</w:t>
      </w:r>
      <w:r>
        <w:t>.</w:t>
      </w:r>
    </w:p>
    <w:p w14:paraId="15F4603B" w14:textId="77777777" w:rsidR="00131081" w:rsidRPr="00592C6B" w:rsidRDefault="00131081" w:rsidP="00131081">
      <w:r w:rsidRPr="00592C6B">
        <w:t>TWC and local education agencies provide various training programs that may meet the customer</w:t>
      </w:r>
      <w:r>
        <w:t>'</w:t>
      </w:r>
      <w:r w:rsidRPr="00592C6B">
        <w:t>s needs.</w:t>
      </w:r>
    </w:p>
    <w:p w14:paraId="51013876" w14:textId="77777777" w:rsidR="00131081" w:rsidRPr="00131081" w:rsidRDefault="00131081" w:rsidP="00131081">
      <w:pPr>
        <w:pStyle w:val="Heading3"/>
      </w:pPr>
      <w:r w:rsidRPr="00592C6B">
        <w:t>Payment for Other Education and Training Programs</w:t>
      </w:r>
    </w:p>
    <w:p w14:paraId="5B1C6D9B" w14:textId="0D21492F" w:rsidR="00131081" w:rsidRPr="00592C6B" w:rsidRDefault="00131081" w:rsidP="00131081">
      <w:pPr>
        <w:autoSpaceDE w:val="0"/>
        <w:autoSpaceDN w:val="0"/>
        <w:adjustRightInd w:val="0"/>
      </w:pPr>
      <w:r w:rsidRPr="00592C6B">
        <w:t xml:space="preserve">The TWC-VR service amount is based on published or current community rates. VR </w:t>
      </w:r>
      <w:r>
        <w:t>C</w:t>
      </w:r>
      <w:r w:rsidRPr="00592C6B">
        <w:t>ounselors may not approve payment for these services when the customer is</w:t>
      </w:r>
      <w:r>
        <w:t>—</w:t>
      </w:r>
    </w:p>
    <w:p w14:paraId="6CA5B9A9" w14:textId="77777777" w:rsidR="00131081" w:rsidRPr="00592C6B" w:rsidRDefault="00131081" w:rsidP="00131081">
      <w:pPr>
        <w:pStyle w:val="ListBulleted"/>
      </w:pPr>
      <w:r>
        <w:t>A</w:t>
      </w:r>
      <w:r w:rsidRPr="00592C6B">
        <w:t xml:space="preserve"> resident of a state institution; or</w:t>
      </w:r>
    </w:p>
    <w:p w14:paraId="2CD066E1" w14:textId="77777777" w:rsidR="00131081" w:rsidRPr="00592C6B" w:rsidRDefault="00131081" w:rsidP="00131081">
      <w:pPr>
        <w:pStyle w:val="ListBulleted"/>
      </w:pPr>
      <w:r>
        <w:t>E</w:t>
      </w:r>
      <w:r w:rsidRPr="00592C6B">
        <w:t>ntitled to free services.</w:t>
      </w:r>
    </w:p>
    <w:p w14:paraId="5207A186" w14:textId="77777777" w:rsidR="00131081" w:rsidRPr="00592C6B" w:rsidRDefault="00131081" w:rsidP="00131081">
      <w:r w:rsidRPr="00592C6B">
        <w:t>Before considering the purchase of other training services, the Unit Purchasing Specialist works with the requesting staff to verify that the provider has the necessary qualifications, credentials, and/or licenses before requesting the vendor be set</w:t>
      </w:r>
      <w:r>
        <w:t xml:space="preserve"> </w:t>
      </w:r>
      <w:r w:rsidRPr="00592C6B">
        <w:t xml:space="preserve">up and linked. </w:t>
      </w:r>
    </w:p>
    <w:p w14:paraId="77D353CF" w14:textId="77777777" w:rsidR="00131081" w:rsidRPr="00131081" w:rsidRDefault="00131081" w:rsidP="00131081">
      <w:pPr>
        <w:pStyle w:val="Heading3"/>
      </w:pPr>
      <w:bookmarkStart w:id="11" w:name="_Toc131579123"/>
      <w:bookmarkStart w:id="12" w:name="_Toc155865658"/>
      <w:r w:rsidRPr="00592C6B">
        <w:t>Adult Basic Education</w:t>
      </w:r>
      <w:bookmarkEnd w:id="11"/>
      <w:bookmarkEnd w:id="12"/>
    </w:p>
    <w:p w14:paraId="09CC7F14" w14:textId="43E308BF" w:rsidR="00131081" w:rsidRPr="00592C6B" w:rsidRDefault="00131081" w:rsidP="00131081">
      <w:pPr>
        <w:autoSpaceDE w:val="0"/>
        <w:autoSpaceDN w:val="0"/>
        <w:adjustRightInd w:val="0"/>
      </w:pPr>
      <w:r w:rsidRPr="00592C6B">
        <w:t xml:space="preserve">TWC or other governmental agency programs provide adult basic education using Federal funds. </w:t>
      </w:r>
      <w:r>
        <w:t>VR Counselors</w:t>
      </w:r>
      <w:r w:rsidRPr="00592C6B">
        <w:t xml:space="preserve"> must not encumber </w:t>
      </w:r>
      <w:r>
        <w:t>TWC-</w:t>
      </w:r>
      <w:r w:rsidRPr="00592C6B">
        <w:t>VR funds for this activity.</w:t>
      </w:r>
      <w:bookmarkStart w:id="13" w:name="_Toc155865659"/>
    </w:p>
    <w:bookmarkEnd w:id="13"/>
    <w:p w14:paraId="0533DD3D" w14:textId="77777777" w:rsidR="00131081" w:rsidRPr="00592C6B" w:rsidRDefault="00131081" w:rsidP="00131081">
      <w:r w:rsidRPr="00592C6B">
        <w:t>TWC-VR may</w:t>
      </w:r>
      <w:r>
        <w:t xml:space="preserve"> </w:t>
      </w:r>
      <w:r w:rsidRPr="00592C6B">
        <w:t>pay the cost of high school equivalency testing for assessments approved by the TEA (i.e., GED test, HiSET exam, or TASC test).</w:t>
      </w:r>
    </w:p>
    <w:p w14:paraId="31BB1EC4" w14:textId="77777777" w:rsidR="00131081" w:rsidRPr="00592C6B" w:rsidRDefault="00131081" w:rsidP="00131081">
      <w:r>
        <w:t>VR Counselors</w:t>
      </w:r>
      <w:r w:rsidRPr="00592C6B">
        <w:t xml:space="preserve"> must review the </w:t>
      </w:r>
      <w:hyperlink r:id="rId13" w:history="1">
        <w:r w:rsidRPr="001C0715">
          <w:rPr>
            <w:rStyle w:val="Hyperlink"/>
          </w:rPr>
          <w:t>TEA website</w:t>
        </w:r>
      </w:hyperlink>
      <w:r w:rsidRPr="00592C6B">
        <w:t xml:space="preserve"> to compare assessments and determine the best option for the customer.</w:t>
      </w:r>
    </w:p>
    <w:p w14:paraId="067E8237" w14:textId="77777777" w:rsidR="00131081" w:rsidRPr="00131081" w:rsidRDefault="00131081" w:rsidP="00131081">
      <w:pPr>
        <w:pStyle w:val="Heading3"/>
      </w:pPr>
      <w:bookmarkStart w:id="14" w:name="_Toc131579124"/>
      <w:bookmarkStart w:id="15" w:name="_Toc155865660"/>
      <w:r w:rsidRPr="00592C6B">
        <w:t>Criss Cole Rehabilitation Center Training</w:t>
      </w:r>
      <w:bookmarkEnd w:id="14"/>
      <w:bookmarkEnd w:id="15"/>
    </w:p>
    <w:p w14:paraId="7298021E" w14:textId="79B7427C" w:rsidR="00131081" w:rsidRPr="001275AC" w:rsidRDefault="00131081" w:rsidP="00131081">
      <w:pPr>
        <w:autoSpaceDE w:val="0"/>
        <w:autoSpaceDN w:val="0"/>
        <w:adjustRightInd w:val="0"/>
      </w:pPr>
      <w:r w:rsidRPr="001275AC">
        <w:t>Located in Austin, Texas, the Criss Cole Rehabilitation Center (CCRC) is a comprehensive VR training facility operated by TWC-VR. Its mission is to work in partnership with blind or visually impaired customers and TWC-VR staff toward the accomplishment of independence and employment. CCRC provides evaluation, training, and related services in residential, classroom, and community settings.</w:t>
      </w:r>
    </w:p>
    <w:p w14:paraId="7EC88E91" w14:textId="77777777" w:rsidR="00131081" w:rsidRPr="00131081" w:rsidRDefault="00131081" w:rsidP="00131081">
      <w:pPr>
        <w:pStyle w:val="Heading3"/>
      </w:pPr>
      <w:bookmarkStart w:id="16" w:name="_Toc155865661"/>
      <w:r w:rsidRPr="00592C6B">
        <w:lastRenderedPageBreak/>
        <w:t>Other Rehabilitation Center Training</w:t>
      </w:r>
      <w:bookmarkEnd w:id="16"/>
    </w:p>
    <w:p w14:paraId="4C962C96" w14:textId="3A8AED90" w:rsidR="00131081" w:rsidRPr="00592C6B" w:rsidRDefault="00131081" w:rsidP="00131081">
      <w:pPr>
        <w:autoSpaceDE w:val="0"/>
        <w:autoSpaceDN w:val="0"/>
        <w:adjustRightInd w:val="0"/>
      </w:pPr>
      <w:r w:rsidRPr="00592C6B">
        <w:t xml:space="preserve">If a customer is requesting rehabilitation center training outside of the CCRC, the </w:t>
      </w:r>
      <w:r>
        <w:t>VR Counselor</w:t>
      </w:r>
      <w:r w:rsidRPr="00592C6B">
        <w:t xml:space="preserve"> must provide the customer with information about CCRC and recommend that the customer complete a tour of </w:t>
      </w:r>
      <w:r>
        <w:t>the center</w:t>
      </w:r>
      <w:r w:rsidRPr="00592C6B">
        <w:t xml:space="preserve">. If a tour is not available, or if the </w:t>
      </w:r>
      <w:r>
        <w:t>VR Counselor</w:t>
      </w:r>
      <w:r w:rsidRPr="00592C6B">
        <w:t xml:space="preserve"> and customer decide that a tour is not in the best interest of the customer, the </w:t>
      </w:r>
      <w:r>
        <w:t>VR Counselor</w:t>
      </w:r>
      <w:r w:rsidRPr="00592C6B">
        <w:t xml:space="preserve"> must clearly document the circumstances and reason</w:t>
      </w:r>
      <w:r>
        <w:t>(s)</w:t>
      </w:r>
      <w:r w:rsidRPr="00592C6B">
        <w:t xml:space="preserve"> for making the decision. </w:t>
      </w:r>
    </w:p>
    <w:p w14:paraId="383961B7" w14:textId="77777777" w:rsidR="00131081" w:rsidRPr="00592C6B" w:rsidRDefault="00131081" w:rsidP="00131081">
      <w:r w:rsidRPr="00592C6B">
        <w:t xml:space="preserve">If a </w:t>
      </w:r>
      <w:r>
        <w:t>VR Counselor</w:t>
      </w:r>
      <w:r w:rsidRPr="00817C14">
        <w:t xml:space="preserve"> </w:t>
      </w:r>
      <w:r w:rsidRPr="00592C6B">
        <w:t>recommends rehabilitation center training outside of the CCRC</w:t>
      </w:r>
      <w:r>
        <w:t>/State of Texas</w:t>
      </w:r>
      <w:r w:rsidRPr="00592C6B">
        <w:t>, the following must be documented in case notes:</w:t>
      </w:r>
    </w:p>
    <w:p w14:paraId="0C66808D" w14:textId="77777777" w:rsidR="00131081" w:rsidRPr="00592C6B" w:rsidRDefault="00131081" w:rsidP="00131081">
      <w:pPr>
        <w:pStyle w:val="ListBulleted"/>
      </w:pPr>
      <w:r w:rsidRPr="00592C6B">
        <w:t>The fact that the customer completed a CCRC tour with a CCRC staff member or the reason the customer did not complete a tour</w:t>
      </w:r>
      <w:r>
        <w:t>; and</w:t>
      </w:r>
    </w:p>
    <w:p w14:paraId="535E573F" w14:textId="77777777" w:rsidR="00131081" w:rsidRPr="001645AD" w:rsidRDefault="00131081" w:rsidP="00131081">
      <w:pPr>
        <w:pStyle w:val="ListBulleted"/>
      </w:pPr>
      <w:r>
        <w:t>VR Counselor's</w:t>
      </w:r>
      <w:r w:rsidRPr="00592C6B">
        <w:t xml:space="preserve"> justification and explanation for recommending rehabilitation center training services outside of CCRC</w:t>
      </w:r>
      <w:r>
        <w:t>/State of Texas.</w:t>
      </w:r>
      <w:r w:rsidRPr="00592C6B">
        <w:t xml:space="preserve"> </w:t>
      </w:r>
      <w:r w:rsidRPr="00592C6B">
        <w:rPr>
          <w:color w:val="C00000"/>
        </w:rPr>
        <w:t xml:space="preserve"> </w:t>
      </w:r>
    </w:p>
    <w:p w14:paraId="36D24145" w14:textId="77777777" w:rsidR="00131081" w:rsidRPr="00131081" w:rsidRDefault="00131081" w:rsidP="00131081">
      <w:pPr>
        <w:pStyle w:val="Heading3"/>
      </w:pPr>
      <w:bookmarkStart w:id="17" w:name="_Toc131579089"/>
      <w:bookmarkStart w:id="18" w:name="_Toc155865607"/>
      <w:r w:rsidRPr="003C66B9">
        <w:t>Training by Paid Instructor or Exempt Schools</w:t>
      </w:r>
      <w:bookmarkEnd w:id="17"/>
      <w:bookmarkEnd w:id="18"/>
    </w:p>
    <w:p w14:paraId="6545E44D" w14:textId="7AA569A1" w:rsidR="00131081" w:rsidRPr="003C66B9" w:rsidRDefault="00131081" w:rsidP="00131081">
      <w:pPr>
        <w:autoSpaceDE w:val="0"/>
        <w:autoSpaceDN w:val="0"/>
        <w:adjustRightInd w:val="0"/>
      </w:pPr>
      <w:r w:rsidRPr="003C66B9">
        <w:t xml:space="preserve">Training by a paid instructor or school exempt from the TWC licensing requirement to meet a customer's individualized needs can be purchased with TWC-VR funds. </w:t>
      </w:r>
    </w:p>
    <w:p w14:paraId="455444B3" w14:textId="77777777" w:rsidR="00131081" w:rsidRPr="003C66B9" w:rsidRDefault="00131081" w:rsidP="00131081">
      <w:pPr>
        <w:pStyle w:val="ListBulleted"/>
      </w:pPr>
      <w:bookmarkStart w:id="19" w:name="_Toc131579091"/>
      <w:bookmarkStart w:id="20" w:name="_Toc155865609"/>
      <w:r w:rsidRPr="003C66B9">
        <w:rPr>
          <w:u w:val="single"/>
        </w:rPr>
        <w:t>Arranging for a Paid Instructor</w:t>
      </w:r>
      <w:bookmarkEnd w:id="19"/>
      <w:bookmarkEnd w:id="20"/>
      <w:r w:rsidRPr="003C66B9">
        <w:t xml:space="preserve">: The </w:t>
      </w:r>
      <w:r>
        <w:t>VR Counselor</w:t>
      </w:r>
      <w:r w:rsidRPr="003C66B9">
        <w:t xml:space="preserve"> arranges for paid instructor training so that a customer has a chance to learn a specific work skill from a qualified individual. This training can be</w:t>
      </w:r>
      <w:r>
        <w:t>—</w:t>
      </w:r>
    </w:p>
    <w:p w14:paraId="4CDC61FD" w14:textId="2B589CEE" w:rsidR="00131081" w:rsidRPr="003C66B9" w:rsidRDefault="00131081" w:rsidP="00131081">
      <w:pPr>
        <w:pStyle w:val="ListBulleted"/>
        <w:numPr>
          <w:ilvl w:val="1"/>
          <w:numId w:val="35"/>
        </w:numPr>
      </w:pPr>
      <w:r>
        <w:t>C</w:t>
      </w:r>
      <w:r w:rsidRPr="003C66B9">
        <w:t>ustomized to the customer's needs (</w:t>
      </w:r>
      <w:r>
        <w:t xml:space="preserve">e.g., </w:t>
      </w:r>
      <w:r w:rsidRPr="003C66B9">
        <w:t>one-on-one);</w:t>
      </w:r>
    </w:p>
    <w:p w14:paraId="3DA81461" w14:textId="77777777" w:rsidR="00131081" w:rsidRPr="003C66B9" w:rsidRDefault="00131081" w:rsidP="00131081">
      <w:pPr>
        <w:pStyle w:val="ListBulleted"/>
        <w:numPr>
          <w:ilvl w:val="1"/>
          <w:numId w:val="35"/>
        </w:numPr>
      </w:pPr>
      <w:r>
        <w:t>O</w:t>
      </w:r>
      <w:r w:rsidRPr="003C66B9">
        <w:t>ffered in a small-group setting; or</w:t>
      </w:r>
    </w:p>
    <w:p w14:paraId="7422B589" w14:textId="033F9CD5" w:rsidR="00131081" w:rsidRPr="003C66B9" w:rsidRDefault="00131081" w:rsidP="00131081">
      <w:pPr>
        <w:pStyle w:val="ListBulleted"/>
        <w:numPr>
          <w:ilvl w:val="1"/>
          <w:numId w:val="35"/>
        </w:numPr>
      </w:pPr>
      <w:r>
        <w:t>T</w:t>
      </w:r>
      <w:r w:rsidRPr="003C66B9">
        <w:t>hrough a school</w:t>
      </w:r>
      <w:r>
        <w:t xml:space="preserve"> not regulated by any entity including TWC Career Schools and Colleges.</w:t>
      </w:r>
    </w:p>
    <w:p w14:paraId="729B42FA" w14:textId="056AF016" w:rsidR="00131081" w:rsidRPr="007A634C" w:rsidRDefault="00131081" w:rsidP="002C048D">
      <w:pPr>
        <w:pStyle w:val="ListBulleted"/>
        <w:numPr>
          <w:ilvl w:val="0"/>
          <w:numId w:val="0"/>
        </w:numPr>
        <w:ind w:left="720"/>
      </w:pPr>
      <w:bookmarkStart w:id="21" w:name="_Toc155865610"/>
      <w:r w:rsidRPr="005E0E76">
        <w:t>Instructor Qualifications</w:t>
      </w:r>
      <w:bookmarkEnd w:id="21"/>
      <w:r w:rsidRPr="0082206C">
        <w:t>:</w:t>
      </w:r>
      <w:r w:rsidRPr="007A634C">
        <w:t xml:space="preserve"> The trainer, school, and the course must </w:t>
      </w:r>
      <w:r w:rsidR="007862EE">
        <w:t xml:space="preserve">not </w:t>
      </w:r>
      <w:r>
        <w:t>meet the requirements to</w:t>
      </w:r>
      <w:r w:rsidRPr="007A634C">
        <w:t xml:space="preserve"> be regulated. </w:t>
      </w:r>
    </w:p>
    <w:p w14:paraId="4965548D" w14:textId="2766EA93" w:rsidR="00131081" w:rsidRPr="001645AD" w:rsidRDefault="00131081" w:rsidP="00E01FAD">
      <w:pPr>
        <w:pStyle w:val="ListBulleted"/>
        <w:autoSpaceDE w:val="0"/>
        <w:autoSpaceDN w:val="0"/>
        <w:adjustRightInd w:val="0"/>
      </w:pPr>
      <w:r w:rsidRPr="00E5561C">
        <w:rPr>
          <w:u w:val="single"/>
        </w:rPr>
        <w:t>Arranging for an Exempt School</w:t>
      </w:r>
      <w:r w:rsidR="00E5561C" w:rsidRPr="00E5561C">
        <w:rPr>
          <w:u w:val="single"/>
        </w:rPr>
        <w:t xml:space="preserve">: </w:t>
      </w:r>
      <w:r>
        <w:t>The VR Counselor purchases training from schools with TWC Career Schools and Colleges’ exemption so that a customer has a chance to learn a specific work skill from a qualified individual or school. This training can be—</w:t>
      </w:r>
    </w:p>
    <w:p w14:paraId="0DF4552E" w14:textId="77777777" w:rsidR="002376D9" w:rsidRDefault="002376D9" w:rsidP="002376D9">
      <w:pPr>
        <w:pStyle w:val="ListBulleted"/>
        <w:numPr>
          <w:ilvl w:val="1"/>
          <w:numId w:val="35"/>
        </w:numPr>
      </w:pPr>
      <w:r>
        <w:t>Customized to the customer's needs (e.g., one-on-one);</w:t>
      </w:r>
    </w:p>
    <w:p w14:paraId="71747703" w14:textId="77777777" w:rsidR="002376D9" w:rsidRDefault="002376D9" w:rsidP="002376D9">
      <w:pPr>
        <w:pStyle w:val="ListBulleted"/>
        <w:numPr>
          <w:ilvl w:val="1"/>
          <w:numId w:val="35"/>
        </w:numPr>
      </w:pPr>
      <w:r>
        <w:t>Offered in a small-group setting; and</w:t>
      </w:r>
    </w:p>
    <w:p w14:paraId="61618965" w14:textId="77777777" w:rsidR="00A06746" w:rsidRPr="00A06746" w:rsidRDefault="002376D9" w:rsidP="002376D9">
      <w:pPr>
        <w:pStyle w:val="ListBulleted"/>
        <w:numPr>
          <w:ilvl w:val="1"/>
          <w:numId w:val="35"/>
        </w:numPr>
        <w:rPr>
          <w:rFonts w:ascii="Times New Roman" w:hAnsi="Times New Roman" w:cs="Times New Roman"/>
        </w:rPr>
      </w:pPr>
      <w:r>
        <w:t>Through a school that has TWC Career Schools and Colleges’ exemption</w:t>
      </w:r>
      <w:r w:rsidR="00A06746">
        <w:t>.</w:t>
      </w:r>
    </w:p>
    <w:p w14:paraId="3CEB9E95" w14:textId="56081262" w:rsidR="00131081" w:rsidRPr="0082206C" w:rsidRDefault="00131081" w:rsidP="00C70E71">
      <w:pPr>
        <w:pStyle w:val="ListBulleted"/>
        <w:numPr>
          <w:ilvl w:val="0"/>
          <w:numId w:val="0"/>
        </w:numPr>
        <w:ind w:left="720"/>
        <w:rPr>
          <w:rFonts w:ascii="Times New Roman" w:hAnsi="Times New Roman" w:cs="Times New Roman"/>
        </w:rPr>
      </w:pPr>
      <w:r w:rsidRPr="0082206C">
        <w:t>Instructor or School Qualifications</w:t>
      </w:r>
      <w:r w:rsidRPr="00B6357F">
        <w:rPr>
          <w:u w:val="single"/>
        </w:rPr>
        <w:t>:</w:t>
      </w:r>
      <w:r>
        <w:t xml:space="preserve"> The trainer, school, and the course must be specifically exempted in writing by TWC Career Schools and Colleges.</w:t>
      </w:r>
      <w:r w:rsidRPr="00B6357F">
        <w:rPr>
          <w:rFonts w:ascii="Times New Roman" w:hAnsi="Times New Roman" w:cs="Times New Roman"/>
        </w:rPr>
        <w:t xml:space="preserve"> </w:t>
      </w:r>
    </w:p>
    <w:p w14:paraId="362F867B" w14:textId="77777777" w:rsidR="00131081" w:rsidRPr="006F20C9" w:rsidRDefault="00131081" w:rsidP="00CD20ED">
      <w:pPr>
        <w:ind w:left="720"/>
      </w:pPr>
      <w:bookmarkStart w:id="22" w:name="_Toc155865611"/>
      <w:r w:rsidRPr="006F20C9">
        <w:rPr>
          <w:u w:val="single"/>
        </w:rPr>
        <w:lastRenderedPageBreak/>
        <w:t>Tuition and Fees</w:t>
      </w:r>
      <w:bookmarkEnd w:id="22"/>
      <w:r w:rsidRPr="006F20C9">
        <w:rPr>
          <w:u w:val="single"/>
        </w:rPr>
        <w:t xml:space="preserve"> for Paid Instructor and Exempt Schools</w:t>
      </w:r>
      <w:r w:rsidRPr="003C66B9">
        <w:t>: When training is obtained through a paid instructor</w:t>
      </w:r>
      <w:r>
        <w:t xml:space="preserve"> or exempt school</w:t>
      </w:r>
      <w:r w:rsidRPr="003C66B9">
        <w:t xml:space="preserve">, tuition and fees rates paid by TWC-VR must not exceed the maximum payment rates </w:t>
      </w:r>
      <w:r w:rsidRPr="006F20C9">
        <w:t>for proprietary schools.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52BF7127" w14:textId="77777777" w:rsidR="00131081" w:rsidRPr="0082206C" w:rsidRDefault="00131081" w:rsidP="00131081">
      <w:pPr>
        <w:rPr>
          <w:i/>
          <w:iCs/>
          <w:u w:val="single"/>
        </w:rPr>
      </w:pPr>
      <w:r w:rsidRPr="0082206C">
        <w:rPr>
          <w:i/>
          <w:iCs/>
          <w:u w:val="single"/>
        </w:rPr>
        <w:t>Approvals</w:t>
      </w:r>
    </w:p>
    <w:p w14:paraId="1564B831" w14:textId="77777777" w:rsidR="00131081" w:rsidRDefault="00131081" w:rsidP="00131081">
      <w:pPr>
        <w:numPr>
          <w:ilvl w:val="0"/>
          <w:numId w:val="26"/>
        </w:numPr>
        <w:autoSpaceDE w:val="0"/>
        <w:autoSpaceDN w:val="0"/>
        <w:adjustRightInd w:val="0"/>
        <w:rPr>
          <w:i/>
          <w:iCs/>
          <w:szCs w:val="22"/>
          <w:lang w:val="en" w:eastAsia="ja-JP"/>
        </w:rPr>
      </w:pPr>
      <w:r w:rsidRPr="001275AC">
        <w:rPr>
          <w:i/>
          <w:iCs/>
          <w:szCs w:val="22"/>
          <w:lang w:val="en" w:eastAsia="ja-JP"/>
        </w:rPr>
        <w:t xml:space="preserve">VR </w:t>
      </w:r>
      <w:r>
        <w:rPr>
          <w:i/>
          <w:iCs/>
          <w:szCs w:val="22"/>
          <w:lang w:val="en" w:eastAsia="ja-JP"/>
        </w:rPr>
        <w:t>M</w:t>
      </w:r>
      <w:r w:rsidRPr="001275AC">
        <w:rPr>
          <w:i/>
          <w:iCs/>
          <w:szCs w:val="22"/>
          <w:lang w:val="en" w:eastAsia="ja-JP"/>
        </w:rPr>
        <w:t xml:space="preserve">anager </w:t>
      </w:r>
      <w:r>
        <w:rPr>
          <w:i/>
          <w:iCs/>
          <w:szCs w:val="22"/>
          <w:lang w:val="en" w:eastAsia="ja-JP"/>
        </w:rPr>
        <w:t xml:space="preserve">approval </w:t>
      </w:r>
      <w:r w:rsidRPr="001275AC">
        <w:rPr>
          <w:i/>
          <w:iCs/>
          <w:szCs w:val="22"/>
          <w:lang w:val="en" w:eastAsia="ja-JP"/>
        </w:rPr>
        <w:t>is required when the customer chooses to attend rehabilitation center training outside of the CCRC</w:t>
      </w:r>
      <w:r>
        <w:rPr>
          <w:i/>
          <w:iCs/>
          <w:szCs w:val="22"/>
          <w:lang w:val="en" w:eastAsia="ja-JP"/>
        </w:rPr>
        <w:t>/State of Texas</w:t>
      </w:r>
      <w:r w:rsidRPr="001275AC">
        <w:rPr>
          <w:i/>
          <w:iCs/>
          <w:szCs w:val="22"/>
          <w:lang w:val="en" w:eastAsia="ja-JP"/>
        </w:rPr>
        <w:t>.</w:t>
      </w:r>
    </w:p>
    <w:p w14:paraId="53FAED2B" w14:textId="77777777" w:rsidR="00131081" w:rsidRDefault="00131081" w:rsidP="00131081">
      <w:pPr>
        <w:numPr>
          <w:ilvl w:val="0"/>
          <w:numId w:val="26"/>
        </w:numPr>
        <w:autoSpaceDE w:val="0"/>
        <w:autoSpaceDN w:val="0"/>
        <w:adjustRightInd w:val="0"/>
        <w:rPr>
          <w:i/>
          <w:iCs/>
          <w:szCs w:val="22"/>
          <w:lang w:val="en" w:eastAsia="ja-JP"/>
        </w:rPr>
      </w:pPr>
      <w:r>
        <w:rPr>
          <w:i/>
          <w:iCs/>
          <w:szCs w:val="22"/>
          <w:lang w:val="en" w:eastAsia="ja-JP"/>
        </w:rPr>
        <w:t xml:space="preserve">VR </w:t>
      </w:r>
      <w:r w:rsidRPr="00DE3106">
        <w:rPr>
          <w:i/>
          <w:iCs/>
          <w:szCs w:val="22"/>
          <w:lang w:val="en" w:eastAsia="ja-JP"/>
        </w:rPr>
        <w:t xml:space="preserve">Regional or Deputy Regional Director approval is required when there is justification to use an Exempt School </w:t>
      </w:r>
      <w:r>
        <w:rPr>
          <w:i/>
          <w:iCs/>
          <w:szCs w:val="22"/>
          <w:lang w:val="en" w:eastAsia="ja-JP"/>
        </w:rPr>
        <w:t>or</w:t>
      </w:r>
      <w:r w:rsidRPr="00DE3106">
        <w:rPr>
          <w:i/>
          <w:iCs/>
          <w:szCs w:val="22"/>
          <w:lang w:val="en" w:eastAsia="ja-JP"/>
        </w:rPr>
        <w:t xml:space="preserve"> </w:t>
      </w:r>
      <w:r>
        <w:rPr>
          <w:i/>
          <w:iCs/>
          <w:szCs w:val="22"/>
          <w:lang w:val="en" w:eastAsia="ja-JP"/>
        </w:rPr>
        <w:t>P</w:t>
      </w:r>
      <w:r w:rsidRPr="00DE3106">
        <w:rPr>
          <w:i/>
          <w:iCs/>
          <w:szCs w:val="22"/>
          <w:lang w:val="en" w:eastAsia="ja-JP"/>
        </w:rPr>
        <w:t xml:space="preserve">aid </w:t>
      </w:r>
      <w:r>
        <w:rPr>
          <w:i/>
          <w:iCs/>
          <w:szCs w:val="22"/>
          <w:lang w:val="en" w:eastAsia="ja-JP"/>
        </w:rPr>
        <w:t>I</w:t>
      </w:r>
      <w:r w:rsidRPr="00DE3106">
        <w:rPr>
          <w:i/>
          <w:iCs/>
          <w:szCs w:val="22"/>
          <w:lang w:val="en" w:eastAsia="ja-JP"/>
        </w:rPr>
        <w:t xml:space="preserve">nstructor. </w:t>
      </w:r>
      <w:r>
        <w:rPr>
          <w:i/>
          <w:iCs/>
          <w:szCs w:val="22"/>
          <w:lang w:val="en" w:eastAsia="ja-JP"/>
        </w:rPr>
        <w:t>A</w:t>
      </w:r>
      <w:r w:rsidRPr="001645AD">
        <w:rPr>
          <w:i/>
          <w:iCs/>
          <w:szCs w:val="22"/>
          <w:lang w:val="en" w:eastAsia="ja-JP"/>
        </w:rPr>
        <w:t>pproval is granted individually for the course and is not a blanket approval for an unlicensed school.</w:t>
      </w:r>
    </w:p>
    <w:p w14:paraId="5C695B64" w14:textId="77777777" w:rsidR="00131081" w:rsidRPr="0082206C" w:rsidRDefault="00131081" w:rsidP="00131081">
      <w:pPr>
        <w:rPr>
          <w:i/>
          <w:iCs/>
          <w:szCs w:val="22"/>
          <w:u w:val="single"/>
          <w:lang w:val="en" w:eastAsia="ja-JP"/>
        </w:rPr>
      </w:pPr>
      <w:r w:rsidRPr="0082206C">
        <w:rPr>
          <w:i/>
          <w:iCs/>
          <w:szCs w:val="22"/>
          <w:u w:val="single"/>
          <w:lang w:val="en" w:eastAsia="ja-JP"/>
        </w:rPr>
        <w:t>Consultations</w:t>
      </w:r>
    </w:p>
    <w:p w14:paraId="50E40430" w14:textId="64C8A6CC" w:rsidR="00131081" w:rsidRPr="001645AD" w:rsidRDefault="00131081" w:rsidP="00131081">
      <w:pPr>
        <w:numPr>
          <w:ilvl w:val="0"/>
          <w:numId w:val="26"/>
        </w:numPr>
        <w:autoSpaceDE w:val="0"/>
        <w:autoSpaceDN w:val="0"/>
        <w:adjustRightInd w:val="0"/>
        <w:rPr>
          <w:i/>
          <w:iCs/>
          <w:szCs w:val="22"/>
          <w:lang w:val="en" w:eastAsia="ja-JP"/>
        </w:rPr>
      </w:pPr>
      <w:r w:rsidRPr="001645AD">
        <w:rPr>
          <w:i/>
          <w:iCs/>
          <w:szCs w:val="22"/>
          <w:lang w:val="en" w:eastAsia="ja-JP"/>
        </w:rPr>
        <w:t>State Office Program Specialist(s)</w:t>
      </w:r>
      <w:r w:rsidR="006C60B3">
        <w:rPr>
          <w:i/>
          <w:iCs/>
          <w:szCs w:val="22"/>
          <w:lang w:val="en" w:eastAsia="ja-JP"/>
        </w:rPr>
        <w:t xml:space="preserve"> consultation</w:t>
      </w:r>
      <w:r w:rsidRPr="001645AD">
        <w:rPr>
          <w:i/>
          <w:iCs/>
          <w:szCs w:val="22"/>
          <w:lang w:val="en" w:eastAsia="ja-JP"/>
        </w:rPr>
        <w:t xml:space="preserve"> is required when there is justification to use an Exempt School or Paid Instructor. </w:t>
      </w:r>
    </w:p>
    <w:p w14:paraId="4F080763" w14:textId="77777777" w:rsidR="002D77AB" w:rsidRPr="009D5287" w:rsidRDefault="002D77AB" w:rsidP="002D77AB">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021035B6" w14:textId="77777777" w:rsidR="002D77AB" w:rsidRPr="009D5287" w:rsidRDefault="002D77AB" w:rsidP="002D77AB">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2D77AB" w:rsidRPr="009D5287" w14:paraId="28B67616" w14:textId="77777777" w:rsidTr="004E2DF6">
        <w:tc>
          <w:tcPr>
            <w:tcW w:w="1861" w:type="dxa"/>
            <w:shd w:val="clear" w:color="auto" w:fill="F0F4FA" w:themeFill="accent4"/>
            <w:vAlign w:val="center"/>
          </w:tcPr>
          <w:p w14:paraId="42E94B4D" w14:textId="77777777" w:rsidR="002D77AB" w:rsidRPr="009D5287" w:rsidRDefault="002D77AB"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0AFAAE0F" w14:textId="77777777" w:rsidR="002D77AB" w:rsidRPr="009D5287" w:rsidRDefault="002D77AB" w:rsidP="004E2DF6">
            <w:pPr>
              <w:rPr>
                <w:b/>
                <w:lang w:val="en" w:eastAsia="ja-JP"/>
              </w:rPr>
            </w:pPr>
            <w:r w:rsidRPr="009D5287">
              <w:rPr>
                <w:b/>
                <w:lang w:val="en" w:eastAsia="ja-JP"/>
              </w:rPr>
              <w:t>Type</w:t>
            </w:r>
          </w:p>
        </w:tc>
        <w:tc>
          <w:tcPr>
            <w:tcW w:w="7350" w:type="dxa"/>
            <w:shd w:val="clear" w:color="auto" w:fill="F0F4FA" w:themeFill="accent4"/>
            <w:vAlign w:val="center"/>
          </w:tcPr>
          <w:p w14:paraId="4DF41AD7" w14:textId="77777777" w:rsidR="002D77AB" w:rsidRPr="009D5287" w:rsidRDefault="002D77AB" w:rsidP="004E2DF6">
            <w:pPr>
              <w:rPr>
                <w:b/>
                <w:lang w:val="en" w:eastAsia="ja-JP"/>
              </w:rPr>
            </w:pPr>
            <w:r w:rsidRPr="009D5287">
              <w:rPr>
                <w:b/>
                <w:lang w:val="en" w:eastAsia="ja-JP"/>
              </w:rPr>
              <w:t>Change Description</w:t>
            </w:r>
          </w:p>
        </w:tc>
      </w:tr>
      <w:tr w:rsidR="002D77AB" w:rsidRPr="009D5287" w14:paraId="2970C201" w14:textId="77777777" w:rsidTr="004E2DF6">
        <w:tc>
          <w:tcPr>
            <w:tcW w:w="1861" w:type="dxa"/>
          </w:tcPr>
          <w:p w14:paraId="7ADCE482" w14:textId="77777777" w:rsidR="002D77AB" w:rsidRPr="009D5287" w:rsidRDefault="002D77AB"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07374A1D" w14:textId="77777777" w:rsidR="002D77AB" w:rsidRPr="009D5287" w:rsidRDefault="002D77AB" w:rsidP="004E2DF6">
            <w:r w:rsidRPr="009D5287">
              <w:t>New</w:t>
            </w:r>
          </w:p>
        </w:tc>
        <w:tc>
          <w:tcPr>
            <w:tcW w:w="7350" w:type="dxa"/>
          </w:tcPr>
          <w:p w14:paraId="6F22E9D0" w14:textId="77777777" w:rsidR="002D77AB" w:rsidRPr="009D5287" w:rsidRDefault="002D77AB" w:rsidP="004E2DF6">
            <w:pPr>
              <w:rPr>
                <w:lang w:val="en" w:eastAsia="ja-JP"/>
              </w:rPr>
            </w:pPr>
            <w:r w:rsidRPr="009D5287">
              <w:t>VRSM Policy and Procedure Rewrite</w:t>
            </w:r>
          </w:p>
        </w:tc>
      </w:tr>
    </w:tbl>
    <w:p w14:paraId="5EB73B5E" w14:textId="0B2CE548"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9BD6" w14:textId="77777777" w:rsidR="009D033C" w:rsidRDefault="009D033C" w:rsidP="00895186">
      <w:r>
        <w:separator/>
      </w:r>
    </w:p>
  </w:endnote>
  <w:endnote w:type="continuationSeparator" w:id="0">
    <w:p w14:paraId="01591EF9" w14:textId="77777777" w:rsidR="009D033C" w:rsidRDefault="009D033C" w:rsidP="00895186">
      <w:r>
        <w:continuationSeparator/>
      </w:r>
    </w:p>
  </w:endnote>
  <w:endnote w:type="continuationNotice" w:id="1">
    <w:p w14:paraId="2702EF72" w14:textId="77777777" w:rsidR="009D033C" w:rsidRDefault="009D03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10C8A66" w:rsidR="00B24E6C" w:rsidRDefault="00131081" w:rsidP="00895186">
    <w:pPr>
      <w:pStyle w:val="Footer"/>
    </w:pPr>
    <w:r>
      <w:rPr>
        <w:noProof/>
      </w:rPr>
      <mc:AlternateContent>
        <mc:Choice Requires="wps">
          <w:drawing>
            <wp:anchor distT="0" distB="0" distL="114300" distR="114300" simplePos="0" relativeHeight="251658242" behindDoc="0" locked="0" layoutInCell="1" allowOverlap="1" wp14:anchorId="00B0B3F3" wp14:editId="2C9E85D6">
              <wp:simplePos x="0" y="0"/>
              <wp:positionH relativeFrom="column">
                <wp:posOffset>-377190</wp:posOffset>
              </wp:positionH>
              <wp:positionV relativeFrom="paragraph">
                <wp:posOffset>6350</wp:posOffset>
              </wp:positionV>
              <wp:extent cx="45275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27550" cy="488950"/>
                      </a:xfrm>
                      <a:prstGeom prst="rect">
                        <a:avLst/>
                      </a:prstGeom>
                      <a:noFill/>
                      <a:ln w="6350">
                        <a:noFill/>
                      </a:ln>
                    </wps:spPr>
                    <wps:txbx>
                      <w:txbxContent>
                        <w:p w14:paraId="25686EF3" w14:textId="53E7C6D1" w:rsidR="00501E08" w:rsidRPr="00501E08" w:rsidRDefault="00131081" w:rsidP="00895186">
                          <w:r>
                            <w:t>Part C, Chapter 10.7: Other Education and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56.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" filled="f" stroked="f" strokeweight=".5pt">
              <v:textbox>
                <w:txbxContent>
                  <w:p w14:paraId="25686EF3" w14:textId="53E7C6D1" w:rsidR="00501E08" w:rsidRPr="00501E08" w:rsidRDefault="00131081" w:rsidP="00895186">
                    <w:r>
                      <w:t>Part C, Chapter 10.7: Other Education and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9B3E9D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6E98" w14:textId="77777777" w:rsidR="009D033C" w:rsidRDefault="009D033C" w:rsidP="00895186">
      <w:r>
        <w:separator/>
      </w:r>
    </w:p>
  </w:footnote>
  <w:footnote w:type="continuationSeparator" w:id="0">
    <w:p w14:paraId="0FCCC7FC" w14:textId="77777777" w:rsidR="009D033C" w:rsidRDefault="009D033C" w:rsidP="00895186">
      <w:r>
        <w:continuationSeparator/>
      </w:r>
    </w:p>
  </w:footnote>
  <w:footnote w:type="continuationNotice" w:id="1">
    <w:p w14:paraId="0BDC998B" w14:textId="77777777" w:rsidR="009D033C" w:rsidRDefault="009D03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A154DE5"/>
    <w:multiLevelType w:val="hybridMultilevel"/>
    <w:tmpl w:val="B34888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F1BBC"/>
    <w:multiLevelType w:val="hybridMultilevel"/>
    <w:tmpl w:val="96CC8C0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8C943FA"/>
    <w:multiLevelType w:val="hybridMultilevel"/>
    <w:tmpl w:val="30BAB2C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B32EA3"/>
    <w:multiLevelType w:val="hybridMultilevel"/>
    <w:tmpl w:val="DF14BCB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15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08C05FC"/>
    <w:multiLevelType w:val="hybridMultilevel"/>
    <w:tmpl w:val="8F06587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C807D0"/>
    <w:multiLevelType w:val="hybridMultilevel"/>
    <w:tmpl w:val="088AFD16"/>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0BD743A"/>
    <w:multiLevelType w:val="multilevel"/>
    <w:tmpl w:val="5E5203A2"/>
    <w:lvl w:ilvl="0">
      <w:start w:val="1"/>
      <w:numFmt w:val="bullet"/>
      <w:lvlText w:val="o"/>
      <w:lvlJc w:val="left"/>
      <w:pPr>
        <w:ind w:left="720" w:hanging="360"/>
      </w:pPr>
      <w:rPr>
        <w:rFonts w:ascii="Courier New" w:hAnsi="Courier New" w:hint="default"/>
        <w:b w:val="0"/>
        <w:i w:val="0"/>
        <w:sz w:val="20"/>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1508B"/>
    <w:multiLevelType w:val="hybridMultilevel"/>
    <w:tmpl w:val="6EA2C2A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D22EDB"/>
    <w:multiLevelType w:val="hybridMultilevel"/>
    <w:tmpl w:val="B982650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7"/>
  </w:num>
  <w:num w:numId="4" w16cid:durableId="109056539">
    <w:abstractNumId w:val="35"/>
  </w:num>
  <w:num w:numId="5" w16cid:durableId="1893686843">
    <w:abstractNumId w:val="23"/>
  </w:num>
  <w:num w:numId="6" w16cid:durableId="760954600">
    <w:abstractNumId w:val="28"/>
  </w:num>
  <w:num w:numId="7" w16cid:durableId="1429428784">
    <w:abstractNumId w:val="13"/>
  </w:num>
  <w:num w:numId="8" w16cid:durableId="436485834">
    <w:abstractNumId w:val="8"/>
  </w:num>
  <w:num w:numId="9" w16cid:durableId="127362230">
    <w:abstractNumId w:val="4"/>
  </w:num>
  <w:num w:numId="10" w16cid:durableId="1604805518">
    <w:abstractNumId w:val="6"/>
  </w:num>
  <w:num w:numId="11" w16cid:durableId="1256401764">
    <w:abstractNumId w:val="29"/>
  </w:num>
  <w:num w:numId="12" w16cid:durableId="1548175440">
    <w:abstractNumId w:val="36"/>
  </w:num>
  <w:num w:numId="13" w16cid:durableId="975644156">
    <w:abstractNumId w:val="7"/>
  </w:num>
  <w:num w:numId="14" w16cid:durableId="2099713293">
    <w:abstractNumId w:val="19"/>
  </w:num>
  <w:num w:numId="15" w16cid:durableId="1594316770">
    <w:abstractNumId w:val="24"/>
  </w:num>
  <w:num w:numId="16" w16cid:durableId="700741873">
    <w:abstractNumId w:val="32"/>
  </w:num>
  <w:num w:numId="17" w16cid:durableId="1651835230">
    <w:abstractNumId w:val="18"/>
  </w:num>
  <w:num w:numId="18" w16cid:durableId="883299119">
    <w:abstractNumId w:val="34"/>
  </w:num>
  <w:num w:numId="19" w16cid:durableId="84305632">
    <w:abstractNumId w:val="12"/>
  </w:num>
  <w:num w:numId="20" w16cid:durableId="1057705478">
    <w:abstractNumId w:val="39"/>
  </w:num>
  <w:num w:numId="21" w16cid:durableId="96758055">
    <w:abstractNumId w:val="26"/>
  </w:num>
  <w:num w:numId="22" w16cid:durableId="722797963">
    <w:abstractNumId w:val="9"/>
  </w:num>
  <w:num w:numId="23" w16cid:durableId="1638485069">
    <w:abstractNumId w:val="15"/>
  </w:num>
  <w:num w:numId="24" w16cid:durableId="1439984590">
    <w:abstractNumId w:val="39"/>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41"/>
  </w:num>
  <w:num w:numId="32" w16cid:durableId="191573243">
    <w:abstractNumId w:val="30"/>
  </w:num>
  <w:num w:numId="33" w16cid:durableId="718751240">
    <w:abstractNumId w:val="3"/>
  </w:num>
  <w:num w:numId="34" w16cid:durableId="1367289556">
    <w:abstractNumId w:val="21"/>
  </w:num>
  <w:num w:numId="35" w16cid:durableId="1934777624">
    <w:abstractNumId w:val="11"/>
  </w:num>
  <w:num w:numId="36" w16cid:durableId="1647272484">
    <w:abstractNumId w:val="37"/>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15856">
    <w:abstractNumId w:val="20"/>
  </w:num>
  <w:num w:numId="40" w16cid:durableId="967201281">
    <w:abstractNumId w:val="38"/>
  </w:num>
  <w:num w:numId="41" w16cid:durableId="868880957">
    <w:abstractNumId w:val="40"/>
  </w:num>
  <w:num w:numId="42" w16cid:durableId="477918157">
    <w:abstractNumId w:val="5"/>
  </w:num>
  <w:num w:numId="43" w16cid:durableId="1798529349">
    <w:abstractNumId w:val="31"/>
  </w:num>
  <w:num w:numId="44" w16cid:durableId="1056467212">
    <w:abstractNumId w:val="16"/>
  </w:num>
  <w:num w:numId="45" w16cid:durableId="1290430579">
    <w:abstractNumId w:val="27"/>
  </w:num>
  <w:num w:numId="46" w16cid:durableId="1329597312">
    <w:abstractNumId w:val="25"/>
  </w:num>
  <w:num w:numId="47" w16cid:durableId="4940775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22E5"/>
    <w:rsid w:val="00094031"/>
    <w:rsid w:val="000A1F40"/>
    <w:rsid w:val="000B1231"/>
    <w:rsid w:val="000B3B97"/>
    <w:rsid w:val="000B6B09"/>
    <w:rsid w:val="000E34FB"/>
    <w:rsid w:val="00103782"/>
    <w:rsid w:val="00131081"/>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6D9"/>
    <w:rsid w:val="00237F40"/>
    <w:rsid w:val="00251BEF"/>
    <w:rsid w:val="00253721"/>
    <w:rsid w:val="0028600F"/>
    <w:rsid w:val="00291D54"/>
    <w:rsid w:val="002A345C"/>
    <w:rsid w:val="002B3B60"/>
    <w:rsid w:val="002C0046"/>
    <w:rsid w:val="002C048D"/>
    <w:rsid w:val="002D77AB"/>
    <w:rsid w:val="002E0AF2"/>
    <w:rsid w:val="002F3A16"/>
    <w:rsid w:val="002F7604"/>
    <w:rsid w:val="00303143"/>
    <w:rsid w:val="003155F3"/>
    <w:rsid w:val="003162EB"/>
    <w:rsid w:val="00330015"/>
    <w:rsid w:val="0033181C"/>
    <w:rsid w:val="00337531"/>
    <w:rsid w:val="00340B05"/>
    <w:rsid w:val="003435FF"/>
    <w:rsid w:val="003500F1"/>
    <w:rsid w:val="00380C78"/>
    <w:rsid w:val="00381C86"/>
    <w:rsid w:val="00387B68"/>
    <w:rsid w:val="003A34D2"/>
    <w:rsid w:val="003B11A4"/>
    <w:rsid w:val="003E0976"/>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0E76"/>
    <w:rsid w:val="005E363C"/>
    <w:rsid w:val="005F0E52"/>
    <w:rsid w:val="00602597"/>
    <w:rsid w:val="00662C0B"/>
    <w:rsid w:val="00663892"/>
    <w:rsid w:val="00667CBA"/>
    <w:rsid w:val="006822AE"/>
    <w:rsid w:val="00684E9F"/>
    <w:rsid w:val="006C60B3"/>
    <w:rsid w:val="006D108A"/>
    <w:rsid w:val="006D7231"/>
    <w:rsid w:val="006F605F"/>
    <w:rsid w:val="00700604"/>
    <w:rsid w:val="00701EDA"/>
    <w:rsid w:val="007253AC"/>
    <w:rsid w:val="00732372"/>
    <w:rsid w:val="00737F40"/>
    <w:rsid w:val="007400FF"/>
    <w:rsid w:val="0075656E"/>
    <w:rsid w:val="00781378"/>
    <w:rsid w:val="00785189"/>
    <w:rsid w:val="007862EE"/>
    <w:rsid w:val="007C0CD5"/>
    <w:rsid w:val="007C2A47"/>
    <w:rsid w:val="007D6F90"/>
    <w:rsid w:val="007F11FA"/>
    <w:rsid w:val="007F608C"/>
    <w:rsid w:val="008021D5"/>
    <w:rsid w:val="008101E7"/>
    <w:rsid w:val="00817FD0"/>
    <w:rsid w:val="00823238"/>
    <w:rsid w:val="00831F7C"/>
    <w:rsid w:val="00837800"/>
    <w:rsid w:val="008445D4"/>
    <w:rsid w:val="00851005"/>
    <w:rsid w:val="008621B5"/>
    <w:rsid w:val="0087043F"/>
    <w:rsid w:val="008749BC"/>
    <w:rsid w:val="00876814"/>
    <w:rsid w:val="00877B4B"/>
    <w:rsid w:val="00880480"/>
    <w:rsid w:val="00882F53"/>
    <w:rsid w:val="00894538"/>
    <w:rsid w:val="00895186"/>
    <w:rsid w:val="00896AC1"/>
    <w:rsid w:val="008A37E9"/>
    <w:rsid w:val="008B46E0"/>
    <w:rsid w:val="008C30CA"/>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033C"/>
    <w:rsid w:val="009F4153"/>
    <w:rsid w:val="00A001F3"/>
    <w:rsid w:val="00A06746"/>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B2F70"/>
    <w:rsid w:val="00C179E1"/>
    <w:rsid w:val="00C17F47"/>
    <w:rsid w:val="00C352AB"/>
    <w:rsid w:val="00C52486"/>
    <w:rsid w:val="00C57B6D"/>
    <w:rsid w:val="00C70E71"/>
    <w:rsid w:val="00C71AE5"/>
    <w:rsid w:val="00C759E8"/>
    <w:rsid w:val="00C828B1"/>
    <w:rsid w:val="00CA6FBB"/>
    <w:rsid w:val="00CB2389"/>
    <w:rsid w:val="00CB3FD2"/>
    <w:rsid w:val="00CB5436"/>
    <w:rsid w:val="00CD20ED"/>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8145A"/>
    <w:rsid w:val="00D95F8B"/>
    <w:rsid w:val="00DA5511"/>
    <w:rsid w:val="00DB5FC8"/>
    <w:rsid w:val="00DC3298"/>
    <w:rsid w:val="00DC3C01"/>
    <w:rsid w:val="00DE1623"/>
    <w:rsid w:val="00DE30FB"/>
    <w:rsid w:val="00DE772F"/>
    <w:rsid w:val="00DF5CB7"/>
    <w:rsid w:val="00E00C55"/>
    <w:rsid w:val="00E13DCC"/>
    <w:rsid w:val="00E16BE9"/>
    <w:rsid w:val="00E22B68"/>
    <w:rsid w:val="00E23F3D"/>
    <w:rsid w:val="00E4574C"/>
    <w:rsid w:val="00E5561C"/>
    <w:rsid w:val="00E57035"/>
    <w:rsid w:val="00E7035E"/>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6446D"/>
    <w:rsid w:val="00F82376"/>
    <w:rsid w:val="00FA3AD4"/>
    <w:rsid w:val="00FB3EB4"/>
    <w:rsid w:val="00FB450E"/>
    <w:rsid w:val="00FC7675"/>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31081"/>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texa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texas.gov/texas-educators/preparation-and-continuing-education/educator-preparation-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texas.gov/texas-educators/preparation-and-continuing-education/educator-preparation-hom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texas.gov/texas-educators/preparation-and-continuing-education/educator-preparation-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19DDA632-EC13-4229-83BC-583CE1A9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33A1D-D1F0-4C9C-BCF9-D99D3280C6A1}">
  <ds:schemaRefs>
    <ds:schemaRef ds:uri="http://schemas.microsoft.com/sharepoint/v3/contenttype/forms"/>
  </ds:schemaRefs>
</ds:datastoreItem>
</file>

<file path=customXml/itemProps3.xml><?xml version="1.0" encoding="utf-8"?>
<ds:datastoreItem xmlns:ds="http://schemas.openxmlformats.org/officeDocument/2006/customXml" ds:itemID="{EE735BC8-E26E-438B-8B31-EA580F86AD02}">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10.7 - Other Education and Training Services</dc:title>
  <dc:subject/>
  <dc:creator>TWC-VR</dc:creator>
  <cp:keywords>Texas Workforce Commission Vocational Rehabilitation Services Manual (VRSM) policy</cp:keywords>
  <dc:description/>
  <cp:lastModifiedBy>Stanphill,Kimberly</cp:lastModifiedBy>
  <cp:revision>22</cp:revision>
  <dcterms:created xsi:type="dcterms:W3CDTF">2024-07-24T18:52:00Z</dcterms:created>
  <dcterms:modified xsi:type="dcterms:W3CDTF">2024-08-26T18:44:00Z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