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99CB5B4" w:rsidR="002A345C" w:rsidRPr="00D77322" w:rsidRDefault="00E943C0" w:rsidP="000F19D6">
      <w:pPr>
        <w:pStyle w:val="Heading1"/>
      </w:pPr>
      <w:r w:rsidRPr="000F19D6">
        <w:t>PART B, CHAPTER 2.2:</w:t>
      </w:r>
      <w:r w:rsidR="000F19D6">
        <w:br/>
      </w:r>
      <w:r>
        <w:t>COMPETITIVE INTEGRATED EMPLOYMENT (CIE)</w:t>
      </w:r>
    </w:p>
    <w:tbl>
      <w:tblPr>
        <w:tblW w:w="9350" w:type="dxa"/>
        <w:tblLook w:val="04A0" w:firstRow="1" w:lastRow="0" w:firstColumn="1" w:lastColumn="0" w:noHBand="0" w:noVBand="1"/>
      </w:tblPr>
      <w:tblGrid>
        <w:gridCol w:w="2047"/>
        <w:gridCol w:w="4195"/>
        <w:gridCol w:w="1811"/>
        <w:gridCol w:w="1297"/>
      </w:tblGrid>
      <w:tr w:rsidR="008D7314" w:rsidRPr="008D7314" w14:paraId="4F812F4A" w14:textId="77777777" w:rsidTr="008D7314">
        <w:trPr>
          <w:trHeight w:val="315"/>
        </w:trPr>
        <w:tc>
          <w:tcPr>
            <w:tcW w:w="2047"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993DFA7" w14:textId="77777777" w:rsidR="008D7314" w:rsidRPr="008D7314" w:rsidRDefault="008D7314" w:rsidP="008D7314">
            <w:pPr>
              <w:spacing w:before="0" w:after="0" w:line="240" w:lineRule="auto"/>
              <w:rPr>
                <w:rFonts w:eastAsia="Times New Roman"/>
                <w:b/>
                <w:bCs/>
                <w:color w:val="000000"/>
                <w:kern w:val="0"/>
                <w14:ligatures w14:val="none"/>
              </w:rPr>
            </w:pPr>
            <w:r w:rsidRPr="008D7314">
              <w:rPr>
                <w:rFonts w:eastAsia="Times New Roman"/>
                <w:b/>
                <w:bCs/>
                <w:color w:val="000000"/>
                <w:kern w:val="0"/>
                <w:lang w:val="en" w:eastAsia="ja-JP"/>
                <w14:ligatures w14:val="none"/>
              </w:rPr>
              <w:t>Policy Number</w:t>
            </w:r>
          </w:p>
        </w:tc>
        <w:tc>
          <w:tcPr>
            <w:tcW w:w="4195" w:type="dxa"/>
            <w:tcBorders>
              <w:top w:val="single" w:sz="4" w:space="0" w:color="auto"/>
              <w:left w:val="nil"/>
              <w:bottom w:val="single" w:sz="4" w:space="0" w:color="auto"/>
              <w:right w:val="single" w:sz="4" w:space="0" w:color="auto"/>
            </w:tcBorders>
            <w:shd w:val="clear" w:color="000000" w:fill="F0F4FA"/>
            <w:noWrap/>
            <w:vAlign w:val="bottom"/>
            <w:hideMark/>
          </w:tcPr>
          <w:p w14:paraId="38F815DC" w14:textId="77777777" w:rsidR="008D7314" w:rsidRPr="008D7314" w:rsidRDefault="008D7314" w:rsidP="008D7314">
            <w:pPr>
              <w:spacing w:before="0" w:after="0" w:line="240" w:lineRule="auto"/>
              <w:rPr>
                <w:rFonts w:eastAsia="Times New Roman"/>
                <w:b/>
                <w:bCs/>
                <w:color w:val="000000"/>
                <w:kern w:val="0"/>
                <w14:ligatures w14:val="none"/>
              </w:rPr>
            </w:pPr>
            <w:r w:rsidRPr="008D7314">
              <w:rPr>
                <w:rFonts w:eastAsia="Times New Roman"/>
                <w:b/>
                <w:bCs/>
                <w:color w:val="000000"/>
                <w:kern w:val="0"/>
                <w:lang w:val="en" w:eastAsia="ja-JP"/>
                <w14:ligatures w14:val="none"/>
              </w:rPr>
              <w:t>Authority</w:t>
            </w:r>
          </w:p>
        </w:tc>
        <w:tc>
          <w:tcPr>
            <w:tcW w:w="1811" w:type="dxa"/>
            <w:tcBorders>
              <w:top w:val="single" w:sz="4" w:space="0" w:color="auto"/>
              <w:left w:val="nil"/>
              <w:bottom w:val="single" w:sz="4" w:space="0" w:color="auto"/>
              <w:right w:val="single" w:sz="4" w:space="0" w:color="auto"/>
            </w:tcBorders>
            <w:shd w:val="clear" w:color="000000" w:fill="F0F4FA"/>
            <w:noWrap/>
            <w:vAlign w:val="bottom"/>
            <w:hideMark/>
          </w:tcPr>
          <w:p w14:paraId="206B6D12" w14:textId="77777777" w:rsidR="008D7314" w:rsidRPr="008D7314" w:rsidRDefault="008D7314" w:rsidP="008D7314">
            <w:pPr>
              <w:spacing w:before="0" w:after="0" w:line="240" w:lineRule="auto"/>
              <w:rPr>
                <w:rFonts w:eastAsia="Times New Roman"/>
                <w:b/>
                <w:bCs/>
                <w:color w:val="000000"/>
                <w:kern w:val="0"/>
                <w14:ligatures w14:val="none"/>
              </w:rPr>
            </w:pPr>
            <w:r w:rsidRPr="008D7314">
              <w:rPr>
                <w:rFonts w:eastAsia="Times New Roman"/>
                <w:b/>
                <w:bCs/>
                <w:color w:val="000000"/>
                <w:kern w:val="0"/>
                <w:lang w:val="en" w:eastAsia="ja-JP"/>
                <w14:ligatures w14:val="none"/>
              </w:rPr>
              <w:t xml:space="preserve">Scope </w:t>
            </w:r>
          </w:p>
        </w:tc>
        <w:tc>
          <w:tcPr>
            <w:tcW w:w="1297" w:type="dxa"/>
            <w:tcBorders>
              <w:top w:val="single" w:sz="4" w:space="0" w:color="auto"/>
              <w:left w:val="nil"/>
              <w:bottom w:val="single" w:sz="4" w:space="0" w:color="auto"/>
              <w:right w:val="single" w:sz="4" w:space="0" w:color="auto"/>
            </w:tcBorders>
            <w:shd w:val="clear" w:color="000000" w:fill="F0F4FA"/>
            <w:noWrap/>
            <w:vAlign w:val="bottom"/>
            <w:hideMark/>
          </w:tcPr>
          <w:p w14:paraId="5443FE57" w14:textId="77777777" w:rsidR="008D7314" w:rsidRPr="008D7314" w:rsidRDefault="008D7314" w:rsidP="008D7314">
            <w:pPr>
              <w:spacing w:before="0" w:after="0" w:line="240" w:lineRule="auto"/>
              <w:rPr>
                <w:rFonts w:eastAsia="Times New Roman"/>
                <w:b/>
                <w:bCs/>
                <w:color w:val="000000"/>
                <w:kern w:val="0"/>
                <w14:ligatures w14:val="none"/>
              </w:rPr>
            </w:pPr>
            <w:r w:rsidRPr="008D7314">
              <w:rPr>
                <w:rFonts w:eastAsia="Times New Roman"/>
                <w:b/>
                <w:bCs/>
                <w:color w:val="000000"/>
                <w:kern w:val="0"/>
                <w:lang w:val="en" w:eastAsia="ja-JP"/>
                <w14:ligatures w14:val="none"/>
              </w:rPr>
              <w:t>Effective Date</w:t>
            </w:r>
          </w:p>
        </w:tc>
      </w:tr>
      <w:tr w:rsidR="008D7314" w:rsidRPr="008D7314" w14:paraId="7F036E3E" w14:textId="77777777" w:rsidTr="008D7314">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A000200" w14:textId="77777777" w:rsidR="008D7314" w:rsidRPr="008D7314" w:rsidRDefault="008D7314" w:rsidP="008D7314">
            <w:pPr>
              <w:spacing w:before="0" w:after="0" w:line="240" w:lineRule="auto"/>
              <w:rPr>
                <w:rFonts w:eastAsia="Times New Roman"/>
                <w:color w:val="000000"/>
                <w:kern w:val="0"/>
                <w14:ligatures w14:val="none"/>
              </w:rPr>
            </w:pPr>
            <w:r w:rsidRPr="008D7314">
              <w:rPr>
                <w:rFonts w:eastAsia="Times New Roman"/>
                <w:color w:val="000000"/>
                <w:kern w:val="0"/>
                <w:lang w:val="en" w:eastAsia="ja-JP"/>
                <w14:ligatures w14:val="none"/>
              </w:rPr>
              <w:t>Part B, Chapter 2.2</w:t>
            </w:r>
          </w:p>
        </w:tc>
        <w:tc>
          <w:tcPr>
            <w:tcW w:w="4195" w:type="dxa"/>
            <w:tcBorders>
              <w:top w:val="nil"/>
              <w:left w:val="nil"/>
              <w:bottom w:val="single" w:sz="4" w:space="0" w:color="auto"/>
              <w:right w:val="single" w:sz="4" w:space="0" w:color="auto"/>
            </w:tcBorders>
            <w:shd w:val="clear" w:color="auto" w:fill="auto"/>
            <w:noWrap/>
            <w:vAlign w:val="bottom"/>
            <w:hideMark/>
          </w:tcPr>
          <w:p w14:paraId="5D5984DA" w14:textId="2EA51B1A" w:rsidR="008D7314" w:rsidRPr="008D7314" w:rsidRDefault="00352069" w:rsidP="008D7314">
            <w:pPr>
              <w:spacing w:before="0" w:after="0" w:line="240" w:lineRule="auto"/>
              <w:rPr>
                <w:rFonts w:eastAsia="Times New Roman"/>
                <w:color w:val="000000"/>
                <w:kern w:val="0"/>
                <w14:ligatures w14:val="none"/>
              </w:rPr>
            </w:pPr>
            <w:r w:rsidRPr="00FE3549">
              <w:t xml:space="preserve">34 CFR </w:t>
            </w:r>
            <w:hyperlink r:id="rId10" w:anchor="p-361.5(c)(9)" w:history="1">
              <w:r w:rsidRPr="00FE3549">
                <w:rPr>
                  <w:rStyle w:val="Hyperlink"/>
                </w:rPr>
                <w:t>§361.5(c)(9)</w:t>
              </w:r>
            </w:hyperlink>
            <w:r w:rsidRPr="00FE3549">
              <w:t xml:space="preserve">, and </w:t>
            </w:r>
            <w:hyperlink r:id="rId11" w:anchor="p-361.5(c)(15)" w:history="1">
              <w:r w:rsidRPr="00FE3549">
                <w:rPr>
                  <w:rStyle w:val="Hyperlink"/>
                </w:rPr>
                <w:t>§361.5(c)(15)</w:t>
              </w:r>
            </w:hyperlink>
          </w:p>
        </w:tc>
        <w:tc>
          <w:tcPr>
            <w:tcW w:w="1811" w:type="dxa"/>
            <w:tcBorders>
              <w:top w:val="nil"/>
              <w:left w:val="nil"/>
              <w:bottom w:val="single" w:sz="4" w:space="0" w:color="auto"/>
              <w:right w:val="single" w:sz="4" w:space="0" w:color="auto"/>
            </w:tcBorders>
            <w:shd w:val="clear" w:color="auto" w:fill="auto"/>
            <w:noWrap/>
            <w:vAlign w:val="bottom"/>
            <w:hideMark/>
          </w:tcPr>
          <w:p w14:paraId="4E4A8AA4" w14:textId="77777777" w:rsidR="008D7314" w:rsidRPr="008D7314" w:rsidRDefault="008D7314" w:rsidP="008D7314">
            <w:pPr>
              <w:spacing w:before="0" w:after="0" w:line="240" w:lineRule="auto"/>
              <w:rPr>
                <w:rFonts w:eastAsia="Times New Roman"/>
                <w:color w:val="000000"/>
                <w:kern w:val="0"/>
                <w14:ligatures w14:val="none"/>
              </w:rPr>
            </w:pPr>
            <w:r w:rsidRPr="008D7314">
              <w:rPr>
                <w:rFonts w:eastAsia="Times New Roman"/>
                <w:color w:val="000000"/>
                <w:kern w:val="0"/>
                <w14:ligatures w14:val="none"/>
              </w:rPr>
              <w:t>All TWC-VR staff</w:t>
            </w:r>
          </w:p>
        </w:tc>
        <w:tc>
          <w:tcPr>
            <w:tcW w:w="1297" w:type="dxa"/>
            <w:tcBorders>
              <w:top w:val="nil"/>
              <w:left w:val="nil"/>
              <w:bottom w:val="single" w:sz="4" w:space="0" w:color="auto"/>
              <w:right w:val="single" w:sz="4" w:space="0" w:color="auto"/>
            </w:tcBorders>
            <w:shd w:val="clear" w:color="auto" w:fill="auto"/>
            <w:noWrap/>
            <w:vAlign w:val="bottom"/>
            <w:hideMark/>
          </w:tcPr>
          <w:p w14:paraId="1CB5A18D" w14:textId="77777777" w:rsidR="008D7314" w:rsidRPr="008D7314" w:rsidRDefault="008D7314" w:rsidP="008D7314">
            <w:pPr>
              <w:spacing w:before="0" w:after="0" w:line="240" w:lineRule="auto"/>
              <w:jc w:val="right"/>
              <w:rPr>
                <w:rFonts w:eastAsia="Times New Roman"/>
                <w:color w:val="000000"/>
                <w:kern w:val="0"/>
                <w14:ligatures w14:val="none"/>
              </w:rPr>
            </w:pPr>
            <w:r w:rsidRPr="008D7314">
              <w:rPr>
                <w:rFonts w:eastAsia="Times New Roman"/>
                <w:color w:val="000000"/>
                <w:kern w:val="0"/>
                <w:lang w:val="en" w:eastAsia="ja-JP"/>
                <w14:ligatures w14:val="none"/>
              </w:rPr>
              <w:t>9/3/2024</w:t>
            </w:r>
          </w:p>
        </w:tc>
      </w:tr>
    </w:tbl>
    <w:p w14:paraId="0C6243EA" w14:textId="07EF7DA2"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D77AE39" w14:textId="77777777" w:rsidR="00FE3549" w:rsidRPr="00401001" w:rsidRDefault="00FE3549" w:rsidP="00FE3549">
      <w:pPr>
        <w:spacing w:after="240"/>
      </w:pPr>
      <w:r w:rsidRPr="00DC5EBA">
        <w:t>Specifically, the purpose of this policy and these procedures is to ensure adherence to</w:t>
      </w:r>
      <w:r w:rsidRPr="00401001">
        <w:rPr>
          <w:rFonts w:asciiTheme="minorHAnsi" w:hAnsiTheme="minorHAnsi" w:cstheme="minorBidi"/>
          <w:sz w:val="22"/>
          <w:szCs w:val="22"/>
        </w:rPr>
        <w:t xml:space="preserve"> </w:t>
      </w:r>
      <w:r w:rsidRPr="00401001">
        <w:t>the requirement of TWC-VR supporting individuals with disabilities in the achievement of employment that meets the definition of Competitive Integrated Employment</w:t>
      </w:r>
      <w:r>
        <w:t xml:space="preserve"> (CIE)</w:t>
      </w:r>
      <w:r w:rsidRPr="00401001">
        <w:t xml:space="preserve">. </w:t>
      </w:r>
    </w:p>
    <w:p w14:paraId="077D4BD0" w14:textId="0E0D9B4E" w:rsidR="00F04098" w:rsidRDefault="00A001F3" w:rsidP="0033181C">
      <w:pPr>
        <w:pStyle w:val="Heading2"/>
      </w:pPr>
      <w:r>
        <w:t>DEFINITIONS</w:t>
      </w:r>
    </w:p>
    <w:p w14:paraId="2BA152E0" w14:textId="6039B890" w:rsidR="00D5593A" w:rsidRPr="00CB2389" w:rsidRDefault="00D5593A" w:rsidP="00FE3549">
      <w:r w:rsidRPr="00CB2389">
        <w:t>There are no specific definitions for this policy and these procedures.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7F8AE144" w14:textId="72D9367D" w:rsidR="00FE3549" w:rsidRPr="00401001" w:rsidRDefault="00FE3549" w:rsidP="00FE3549">
      <w:pPr>
        <w:autoSpaceDE w:val="0"/>
        <w:autoSpaceDN w:val="0"/>
        <w:adjustRightInd w:val="0"/>
      </w:pPr>
      <w:r w:rsidRPr="00401001">
        <w:t xml:space="preserve">TWC-VR is dedicated to assisting individuals with disabilities in achieving an employment outcome. Employment </w:t>
      </w:r>
      <w:r w:rsidR="008C7BD5">
        <w:t>o</w:t>
      </w:r>
      <w:r w:rsidRPr="00401001">
        <w:t xml:space="preserve">utcomes means, with respect to an individual, </w:t>
      </w:r>
      <w:bookmarkStart w:id="0" w:name="_Hlk164555679"/>
      <w:r w:rsidRPr="00401001">
        <w:t xml:space="preserve">entering, advancing in, or retaining full-time or, if appropriate, part-time </w:t>
      </w:r>
      <w:r>
        <w:t xml:space="preserve">CIE </w:t>
      </w:r>
      <w:r w:rsidRPr="00401001">
        <w:t>that is consistent with an individual's unique strengths, resources, priorities, concerns, abilities, capabilities, interests, and informed choice.</w:t>
      </w:r>
      <w:bookmarkEnd w:id="0"/>
    </w:p>
    <w:p w14:paraId="7F63B258" w14:textId="77777777" w:rsidR="00FE3549" w:rsidRDefault="00FE3549" w:rsidP="00FE3549">
      <w:pPr>
        <w:pStyle w:val="Heading3"/>
      </w:pPr>
      <w:r w:rsidRPr="004172B7">
        <w:t>Competitive Integrated Employment</w:t>
      </w:r>
    </w:p>
    <w:p w14:paraId="0DF0D8B4" w14:textId="6244AB12" w:rsidR="00FE3549" w:rsidRPr="00401001" w:rsidRDefault="00FE3549" w:rsidP="00FE3549">
      <w:pPr>
        <w:autoSpaceDE w:val="0"/>
        <w:autoSpaceDN w:val="0"/>
        <w:adjustRightInd w:val="0"/>
      </w:pPr>
      <w:r>
        <w:t>CIE is</w:t>
      </w:r>
      <w:r w:rsidRPr="00401001">
        <w:t xml:space="preserve"> work that— </w:t>
      </w:r>
    </w:p>
    <w:p w14:paraId="6BB6338D" w14:textId="77777777" w:rsidR="00FE3549" w:rsidRPr="00FE3549" w:rsidRDefault="00FE3549" w:rsidP="00FE3549">
      <w:pPr>
        <w:pStyle w:val="ListParagraph"/>
      </w:pPr>
      <w:r w:rsidRPr="00FE3549">
        <w:t xml:space="preserve">Is performed on a full-time or part-time basis (including self-employment) and for which an individual is compensated at a rate that— </w:t>
      </w:r>
    </w:p>
    <w:p w14:paraId="47E490F9" w14:textId="77777777" w:rsidR="00FE3549" w:rsidRPr="00FE3549" w:rsidRDefault="00FE3549" w:rsidP="00FE3549">
      <w:pPr>
        <w:pStyle w:val="ListParagraph"/>
        <w:numPr>
          <w:ilvl w:val="1"/>
          <w:numId w:val="33"/>
        </w:numPr>
      </w:pPr>
      <w:r w:rsidRPr="00FE3549">
        <w:lastRenderedPageBreak/>
        <w:t>Is not less than the higher of the rate specified in section 6(a)(1) of the Fair Labor Standards Act of 1938 (</w:t>
      </w:r>
      <w:hyperlink r:id="rId12" w:tgtFrame="_blank" w:history="1">
        <w:r w:rsidRPr="00FE3549">
          <w:rPr>
            <w:rStyle w:val="Hyperlink"/>
            <w:color w:val="auto"/>
            <w:u w:val="none"/>
          </w:rPr>
          <w:t>29 U.S.C. 206(a)(1)</w:t>
        </w:r>
      </w:hyperlink>
      <w:r w:rsidRPr="00FE3549">
        <w:t xml:space="preserve">) or the rate required under the applicable State or local minimum wage law for the place of employment; </w:t>
      </w:r>
    </w:p>
    <w:p w14:paraId="269A77E6" w14:textId="77777777" w:rsidR="00FE3549" w:rsidRPr="00FE3549" w:rsidRDefault="00FE3549" w:rsidP="00FE3549">
      <w:pPr>
        <w:pStyle w:val="ListParagraph"/>
        <w:numPr>
          <w:ilvl w:val="1"/>
          <w:numId w:val="33"/>
        </w:numPr>
      </w:pPr>
      <w:r w:rsidRPr="00FE3549">
        <w:t xml:space="preserve">Is not less than the customary rate paid by the employer for the same or similar work performed by other employees who are not individuals with disabilities and who are similarly situated in similar occupations by the same employer and who have similar training, experience, and skills; and </w:t>
      </w:r>
    </w:p>
    <w:p w14:paraId="0EF68B6C" w14:textId="5881A33E" w:rsidR="00FE3549" w:rsidRPr="00FE3549" w:rsidRDefault="00FE3549" w:rsidP="00FE3549">
      <w:pPr>
        <w:pStyle w:val="ListParagraph"/>
        <w:numPr>
          <w:ilvl w:val="1"/>
          <w:numId w:val="33"/>
        </w:numPr>
      </w:pPr>
      <w:r w:rsidRPr="00FE3549">
        <w:t xml:space="preserve">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 </w:t>
      </w:r>
    </w:p>
    <w:p w14:paraId="234F720C" w14:textId="77777777" w:rsidR="00FE3549" w:rsidRPr="00FE3549" w:rsidRDefault="00FE3549" w:rsidP="00FE3549">
      <w:pPr>
        <w:pStyle w:val="ListParagraph"/>
        <w:numPr>
          <w:ilvl w:val="1"/>
          <w:numId w:val="33"/>
        </w:numPr>
      </w:pPr>
      <w:r w:rsidRPr="00FE3549">
        <w:t xml:space="preserve">Is eligible for the level of benefits provided to other employees; and </w:t>
      </w:r>
    </w:p>
    <w:p w14:paraId="39D6F899" w14:textId="77777777" w:rsidR="00FE3549" w:rsidRPr="00FE3549" w:rsidRDefault="00FE3549" w:rsidP="00FE3549">
      <w:pPr>
        <w:pStyle w:val="ListParagraph"/>
      </w:pPr>
      <w:r w:rsidRPr="00FE3549">
        <w:t xml:space="preserve">Is at a location— </w:t>
      </w:r>
    </w:p>
    <w:p w14:paraId="070BCEF1" w14:textId="77777777" w:rsidR="00FE3549" w:rsidRPr="00FE3549" w:rsidRDefault="00FE3549" w:rsidP="00FE3549">
      <w:pPr>
        <w:pStyle w:val="ListParagraph"/>
        <w:numPr>
          <w:ilvl w:val="1"/>
          <w:numId w:val="33"/>
        </w:numPr>
      </w:pPr>
      <w:r w:rsidRPr="00FE3549">
        <w:t xml:space="preserve">Typically found in the community; and </w:t>
      </w:r>
    </w:p>
    <w:p w14:paraId="6B0EA05B" w14:textId="77777777" w:rsidR="00FE3549" w:rsidRPr="00FE3549" w:rsidRDefault="00FE3549" w:rsidP="00FE3549">
      <w:pPr>
        <w:pStyle w:val="ListParagraph"/>
        <w:numPr>
          <w:ilvl w:val="1"/>
          <w:numId w:val="33"/>
        </w:numPr>
      </w:pPr>
      <w:r w:rsidRPr="00FE3549">
        <w:t xml:space="preserve">Where the employee with a disability interacts for the purpose of performing the duties of the position with other employees within the particular work unit and the entire work site, and, as appropriate, to the work performed, other persons (e.g., customers and vendors) who are not individuals with disabilities (excluding supervisory personnel or individuals who are providing services to such employee) to the same extent that employees who are not individuals with disabilities and who are in comparable positions interact with these persons; and </w:t>
      </w:r>
    </w:p>
    <w:p w14:paraId="2B2AB4BA" w14:textId="77777777" w:rsidR="00FE3549" w:rsidRPr="00FE3549" w:rsidRDefault="00FE3549" w:rsidP="00FE3549">
      <w:pPr>
        <w:pStyle w:val="ListParagraph"/>
      </w:pPr>
      <w:r w:rsidRPr="00FE3549">
        <w:t>Presents, as appropriate, opportunities for advancement that are similar to those for other employees who are not individuals with disabilities and who have similar positions.</w:t>
      </w:r>
    </w:p>
    <w:p w14:paraId="20640C2E" w14:textId="77777777" w:rsidR="00FE3549" w:rsidRPr="00401001" w:rsidRDefault="00FE3549" w:rsidP="00FE3549">
      <w:r w:rsidRPr="00401001">
        <w:t>TWC-VR supports a variety of CIE types, including Self-Employment, Randolph-Sheppard Business Enterprises of Texas Program (BET), and Supported Employment in CIE.</w:t>
      </w:r>
    </w:p>
    <w:p w14:paraId="11E48025" w14:textId="511E42FF" w:rsidR="00934027" w:rsidRDefault="00145D80" w:rsidP="00CF06B7">
      <w:pPr>
        <w:pStyle w:val="Heading2"/>
      </w:pPr>
      <w:r>
        <w:t>PROCEDURES</w:t>
      </w:r>
    </w:p>
    <w:p w14:paraId="3BF5E84A" w14:textId="7245C6B9" w:rsidR="000538A8" w:rsidRDefault="00FE3549" w:rsidP="00896AC1">
      <w:pPr>
        <w:pStyle w:val="Heading3"/>
        <w:numPr>
          <w:ilvl w:val="0"/>
          <w:numId w:val="37"/>
        </w:numPr>
      </w:pPr>
      <w:r>
        <w:t>Determining CIE</w:t>
      </w:r>
    </w:p>
    <w:p w14:paraId="54202C9F" w14:textId="01E5D5BE" w:rsidR="00FE3549" w:rsidRDefault="00FE3549" w:rsidP="00FE3549">
      <w:r>
        <w:t xml:space="preserve">When </w:t>
      </w:r>
      <w:r w:rsidRPr="004172B7">
        <w:t>conducting a case-by-case analysis to determine when a job position (based on the unique facts of the particular position) is integrated</w:t>
      </w:r>
      <w:r>
        <w:t>, the following steps must be followed—</w:t>
      </w:r>
    </w:p>
    <w:p w14:paraId="715CA52D" w14:textId="77777777" w:rsidR="00FE3549" w:rsidRPr="00FE3549" w:rsidRDefault="00FE3549" w:rsidP="00FE3549">
      <w:pPr>
        <w:pStyle w:val="ListParagraph"/>
        <w:numPr>
          <w:ilvl w:val="0"/>
          <w:numId w:val="41"/>
        </w:numPr>
        <w:rPr>
          <w:rFonts w:cstheme="minorHAnsi"/>
        </w:rPr>
      </w:pPr>
      <w:r>
        <w:t xml:space="preserve">The </w:t>
      </w:r>
      <w:r w:rsidRPr="004172B7">
        <w:t xml:space="preserve">VR </w:t>
      </w:r>
      <w:r>
        <w:t>C</w:t>
      </w:r>
      <w:r w:rsidRPr="004172B7">
        <w:t xml:space="preserve">ounselor will review </w:t>
      </w:r>
      <w:r>
        <w:t xml:space="preserve">the </w:t>
      </w:r>
      <w:r w:rsidRPr="004172B7">
        <w:t>requirements of an employment outcome</w:t>
      </w:r>
      <w:r>
        <w:t xml:space="preserve"> in CIE</w:t>
      </w:r>
      <w:r w:rsidRPr="004172B7">
        <w:t xml:space="preserve"> with the customer throughout the VR process. The </w:t>
      </w:r>
      <w:r w:rsidRPr="003601E1">
        <w:t>CIE Checklist</w:t>
      </w:r>
      <w:r w:rsidRPr="004172B7">
        <w:t xml:space="preserve"> may </w:t>
      </w:r>
      <w:r>
        <w:t xml:space="preserve">be used to </w:t>
      </w:r>
      <w:r w:rsidRPr="004172B7">
        <w:t xml:space="preserve">assist </w:t>
      </w:r>
      <w:r>
        <w:t>in</w:t>
      </w:r>
      <w:r w:rsidRPr="004172B7">
        <w:t xml:space="preserve"> explaining requirements of an employment outcome.</w:t>
      </w:r>
    </w:p>
    <w:p w14:paraId="0A39B240" w14:textId="77777777" w:rsidR="00FE3549" w:rsidRDefault="00FE3549" w:rsidP="00FE3549">
      <w:pPr>
        <w:pStyle w:val="ListParagraph"/>
        <w:rPr>
          <w:rFonts w:cstheme="minorHAnsi"/>
        </w:rPr>
      </w:pPr>
      <w:r w:rsidRPr="004172B7">
        <w:rPr>
          <w:color w:val="222222"/>
        </w:rPr>
        <w:lastRenderedPageBreak/>
        <w:t>If</w:t>
      </w:r>
      <w:r>
        <w:rPr>
          <w:color w:val="222222"/>
        </w:rPr>
        <w:t xml:space="preserve"> a </w:t>
      </w:r>
      <w:r w:rsidRPr="004172B7">
        <w:rPr>
          <w:color w:val="222222"/>
        </w:rPr>
        <w:t xml:space="preserve">customer is employed with an employer on the </w:t>
      </w:r>
      <w:r w:rsidRPr="003601E1">
        <w:rPr>
          <w:color w:val="222222"/>
        </w:rPr>
        <w:t>Searchable List of Employers</w:t>
      </w:r>
      <w:r w:rsidRPr="004172B7">
        <w:rPr>
          <w:color w:val="222222"/>
        </w:rPr>
        <w:t xml:space="preserve">, one of the following TWC-VR staff </w:t>
      </w:r>
      <w:r>
        <w:rPr>
          <w:color w:val="222222"/>
        </w:rPr>
        <w:t>must</w:t>
      </w:r>
      <w:r w:rsidRPr="004172B7">
        <w:rPr>
          <w:color w:val="222222"/>
        </w:rPr>
        <w:t xml:space="preserve"> complete the CIE Checklist and a worksite visit:</w:t>
      </w:r>
    </w:p>
    <w:p w14:paraId="62780150" w14:textId="77777777" w:rsidR="00FE3549" w:rsidRPr="00A43029" w:rsidRDefault="00FE3549" w:rsidP="00DA7C7B">
      <w:pPr>
        <w:pStyle w:val="ListParagraph"/>
        <w:numPr>
          <w:ilvl w:val="1"/>
          <w:numId w:val="42"/>
        </w:numPr>
        <w:rPr>
          <w:rFonts w:cstheme="minorHAnsi"/>
        </w:rPr>
      </w:pPr>
      <w:r w:rsidRPr="00A43029">
        <w:rPr>
          <w:color w:val="222222"/>
        </w:rPr>
        <w:t xml:space="preserve">Regional </w:t>
      </w:r>
      <w:r>
        <w:rPr>
          <w:color w:val="222222"/>
        </w:rPr>
        <w:t>P</w:t>
      </w:r>
      <w:r w:rsidRPr="00A43029">
        <w:rPr>
          <w:color w:val="222222"/>
        </w:rPr>
        <w:t xml:space="preserve">rogram </w:t>
      </w:r>
      <w:r>
        <w:rPr>
          <w:color w:val="222222"/>
        </w:rPr>
        <w:t>S</w:t>
      </w:r>
      <w:r w:rsidRPr="00A43029">
        <w:rPr>
          <w:color w:val="222222"/>
        </w:rPr>
        <w:t>pecialist</w:t>
      </w:r>
      <w:r>
        <w:rPr>
          <w:color w:val="222222"/>
        </w:rPr>
        <w:t>;</w:t>
      </w:r>
    </w:p>
    <w:p w14:paraId="30D73F84" w14:textId="77777777" w:rsidR="00FE3549" w:rsidRPr="00A43029" w:rsidRDefault="00FE3549" w:rsidP="00DA7C7B">
      <w:pPr>
        <w:pStyle w:val="ListParagraph"/>
        <w:numPr>
          <w:ilvl w:val="1"/>
          <w:numId w:val="42"/>
        </w:numPr>
        <w:rPr>
          <w:color w:val="222222"/>
        </w:rPr>
      </w:pPr>
      <w:r w:rsidRPr="00A43029">
        <w:rPr>
          <w:color w:val="222222"/>
        </w:rPr>
        <w:t xml:space="preserve">Regional </w:t>
      </w:r>
      <w:r>
        <w:rPr>
          <w:color w:val="222222"/>
        </w:rPr>
        <w:t>P</w:t>
      </w:r>
      <w:r w:rsidRPr="00A43029">
        <w:rPr>
          <w:color w:val="222222"/>
        </w:rPr>
        <w:t xml:space="preserve">rogram </w:t>
      </w:r>
      <w:r>
        <w:rPr>
          <w:color w:val="222222"/>
        </w:rPr>
        <w:t>S</w:t>
      </w:r>
      <w:r w:rsidRPr="00A43029">
        <w:rPr>
          <w:color w:val="222222"/>
        </w:rPr>
        <w:t xml:space="preserve">upport </w:t>
      </w:r>
      <w:r>
        <w:rPr>
          <w:color w:val="222222"/>
        </w:rPr>
        <w:t>S</w:t>
      </w:r>
      <w:r w:rsidRPr="00A43029">
        <w:rPr>
          <w:color w:val="222222"/>
        </w:rPr>
        <w:t>pecialist</w:t>
      </w:r>
      <w:r>
        <w:rPr>
          <w:color w:val="222222"/>
        </w:rPr>
        <w:t>;</w:t>
      </w:r>
    </w:p>
    <w:p w14:paraId="4CAC828B" w14:textId="77777777" w:rsidR="00FE3549" w:rsidRPr="00A43029" w:rsidRDefault="00FE3549" w:rsidP="00DA7C7B">
      <w:pPr>
        <w:pStyle w:val="ListParagraph"/>
        <w:numPr>
          <w:ilvl w:val="1"/>
          <w:numId w:val="42"/>
        </w:numPr>
        <w:rPr>
          <w:color w:val="222222"/>
        </w:rPr>
      </w:pPr>
      <w:r w:rsidRPr="00A43029">
        <w:rPr>
          <w:color w:val="222222"/>
        </w:rPr>
        <w:t xml:space="preserve">Regional </w:t>
      </w:r>
      <w:r>
        <w:rPr>
          <w:color w:val="222222"/>
        </w:rPr>
        <w:t>Q</w:t>
      </w:r>
      <w:r w:rsidRPr="00A43029">
        <w:rPr>
          <w:color w:val="222222"/>
        </w:rPr>
        <w:t xml:space="preserve">uality </w:t>
      </w:r>
      <w:r>
        <w:rPr>
          <w:color w:val="222222"/>
        </w:rPr>
        <w:t>A</w:t>
      </w:r>
      <w:r w:rsidRPr="00A43029">
        <w:rPr>
          <w:color w:val="222222"/>
        </w:rPr>
        <w:t xml:space="preserve">ssurance </w:t>
      </w:r>
      <w:r>
        <w:rPr>
          <w:color w:val="222222"/>
        </w:rPr>
        <w:t>S</w:t>
      </w:r>
      <w:r w:rsidRPr="00A43029">
        <w:rPr>
          <w:color w:val="222222"/>
        </w:rPr>
        <w:t>pecialist</w:t>
      </w:r>
      <w:r>
        <w:rPr>
          <w:color w:val="222222"/>
        </w:rPr>
        <w:t>;</w:t>
      </w:r>
    </w:p>
    <w:p w14:paraId="1118F54D" w14:textId="77777777" w:rsidR="00FE3549" w:rsidRPr="00A43029" w:rsidRDefault="00FE3549" w:rsidP="00DA7C7B">
      <w:pPr>
        <w:pStyle w:val="ListParagraph"/>
        <w:numPr>
          <w:ilvl w:val="1"/>
          <w:numId w:val="42"/>
        </w:numPr>
        <w:rPr>
          <w:color w:val="222222"/>
        </w:rPr>
      </w:pPr>
      <w:r w:rsidRPr="00A43029">
        <w:rPr>
          <w:color w:val="222222"/>
        </w:rPr>
        <w:t xml:space="preserve">Program </w:t>
      </w:r>
      <w:r>
        <w:rPr>
          <w:color w:val="222222"/>
        </w:rPr>
        <w:t>I</w:t>
      </w:r>
      <w:r w:rsidRPr="00A43029">
        <w:rPr>
          <w:color w:val="222222"/>
        </w:rPr>
        <w:t xml:space="preserve">mprovement </w:t>
      </w:r>
      <w:r>
        <w:rPr>
          <w:color w:val="222222"/>
        </w:rPr>
        <w:t>S</w:t>
      </w:r>
      <w:r w:rsidRPr="00A43029">
        <w:rPr>
          <w:color w:val="222222"/>
        </w:rPr>
        <w:t>pecialist</w:t>
      </w:r>
      <w:r>
        <w:rPr>
          <w:color w:val="222222"/>
        </w:rPr>
        <w:t>;</w:t>
      </w:r>
    </w:p>
    <w:p w14:paraId="0587468B" w14:textId="77777777" w:rsidR="00FE3549" w:rsidRPr="00A43029" w:rsidRDefault="00FE3549" w:rsidP="00DA7C7B">
      <w:pPr>
        <w:pStyle w:val="ListParagraph"/>
        <w:numPr>
          <w:ilvl w:val="1"/>
          <w:numId w:val="42"/>
        </w:numPr>
        <w:rPr>
          <w:color w:val="222222"/>
        </w:rPr>
      </w:pPr>
      <w:r w:rsidRPr="00A43029">
        <w:rPr>
          <w:color w:val="222222"/>
        </w:rPr>
        <w:t xml:space="preserve">Regional Blind </w:t>
      </w:r>
      <w:r>
        <w:rPr>
          <w:color w:val="222222"/>
        </w:rPr>
        <w:t>S</w:t>
      </w:r>
      <w:r w:rsidRPr="00A43029">
        <w:rPr>
          <w:color w:val="222222"/>
        </w:rPr>
        <w:t xml:space="preserve">ervices </w:t>
      </w:r>
      <w:r>
        <w:rPr>
          <w:color w:val="222222"/>
        </w:rPr>
        <w:t>S</w:t>
      </w:r>
      <w:r w:rsidRPr="00A43029">
        <w:rPr>
          <w:color w:val="222222"/>
        </w:rPr>
        <w:t>pecialist</w:t>
      </w:r>
      <w:r>
        <w:rPr>
          <w:color w:val="222222"/>
        </w:rPr>
        <w:t>;</w:t>
      </w:r>
    </w:p>
    <w:p w14:paraId="31AA057C" w14:textId="77777777" w:rsidR="00FE3549" w:rsidRPr="00A43029" w:rsidRDefault="00FE3549" w:rsidP="00DA7C7B">
      <w:pPr>
        <w:pStyle w:val="ListParagraph"/>
        <w:numPr>
          <w:ilvl w:val="1"/>
          <w:numId w:val="42"/>
        </w:numPr>
        <w:rPr>
          <w:color w:val="222222"/>
        </w:rPr>
      </w:pPr>
      <w:r w:rsidRPr="00A43029">
        <w:rPr>
          <w:color w:val="222222"/>
        </w:rPr>
        <w:t xml:space="preserve">Program </w:t>
      </w:r>
      <w:r>
        <w:rPr>
          <w:color w:val="222222"/>
        </w:rPr>
        <w:t>S</w:t>
      </w:r>
      <w:r w:rsidRPr="00A43029">
        <w:rPr>
          <w:color w:val="222222"/>
        </w:rPr>
        <w:t xml:space="preserve">upport </w:t>
      </w:r>
      <w:r>
        <w:rPr>
          <w:color w:val="222222"/>
        </w:rPr>
        <w:t>M</w:t>
      </w:r>
      <w:r w:rsidRPr="00A43029">
        <w:rPr>
          <w:color w:val="222222"/>
        </w:rPr>
        <w:t>anager</w:t>
      </w:r>
      <w:r>
        <w:rPr>
          <w:color w:val="222222"/>
        </w:rPr>
        <w:t>;</w:t>
      </w:r>
    </w:p>
    <w:p w14:paraId="62A1285B" w14:textId="77777777" w:rsidR="00FE3549" w:rsidRPr="00A43029" w:rsidRDefault="00FE3549" w:rsidP="00DA7C7B">
      <w:pPr>
        <w:pStyle w:val="ListParagraph"/>
        <w:numPr>
          <w:ilvl w:val="1"/>
          <w:numId w:val="42"/>
        </w:numPr>
        <w:rPr>
          <w:color w:val="222222"/>
        </w:rPr>
      </w:pPr>
      <w:r w:rsidRPr="00A43029">
        <w:rPr>
          <w:color w:val="222222"/>
        </w:rPr>
        <w:t xml:space="preserve">VR </w:t>
      </w:r>
      <w:r>
        <w:rPr>
          <w:color w:val="222222"/>
        </w:rPr>
        <w:t>S</w:t>
      </w:r>
      <w:r w:rsidRPr="00A43029">
        <w:rPr>
          <w:color w:val="222222"/>
        </w:rPr>
        <w:t>upervisor</w:t>
      </w:r>
      <w:r>
        <w:rPr>
          <w:color w:val="222222"/>
        </w:rPr>
        <w:t>;</w:t>
      </w:r>
    </w:p>
    <w:p w14:paraId="5B9621BE" w14:textId="77777777" w:rsidR="00FE3549" w:rsidRPr="00A43029" w:rsidRDefault="00FE3549" w:rsidP="00DA7C7B">
      <w:pPr>
        <w:pStyle w:val="ListParagraph"/>
        <w:numPr>
          <w:ilvl w:val="1"/>
          <w:numId w:val="42"/>
        </w:numPr>
        <w:rPr>
          <w:color w:val="222222"/>
        </w:rPr>
      </w:pPr>
      <w:r w:rsidRPr="00A43029">
        <w:rPr>
          <w:color w:val="222222"/>
        </w:rPr>
        <w:t xml:space="preserve">VR </w:t>
      </w:r>
      <w:r>
        <w:rPr>
          <w:color w:val="222222"/>
        </w:rPr>
        <w:t>M</w:t>
      </w:r>
      <w:r w:rsidRPr="00A43029">
        <w:rPr>
          <w:color w:val="222222"/>
        </w:rPr>
        <w:t>anager</w:t>
      </w:r>
      <w:r>
        <w:rPr>
          <w:color w:val="222222"/>
        </w:rPr>
        <w:t>;</w:t>
      </w:r>
    </w:p>
    <w:p w14:paraId="29996B70" w14:textId="77777777" w:rsidR="00FE3549" w:rsidRPr="00A43029" w:rsidRDefault="00FE3549" w:rsidP="00DA7C7B">
      <w:pPr>
        <w:pStyle w:val="ListParagraph"/>
        <w:numPr>
          <w:ilvl w:val="1"/>
          <w:numId w:val="42"/>
        </w:numPr>
        <w:rPr>
          <w:color w:val="222222"/>
        </w:rPr>
      </w:pPr>
      <w:r w:rsidRPr="00A43029">
        <w:rPr>
          <w:color w:val="222222"/>
        </w:rPr>
        <w:t xml:space="preserve">Process </w:t>
      </w:r>
      <w:r>
        <w:rPr>
          <w:color w:val="222222"/>
        </w:rPr>
        <w:t>I</w:t>
      </w:r>
      <w:r w:rsidRPr="00A43029">
        <w:rPr>
          <w:color w:val="222222"/>
        </w:rPr>
        <w:t xml:space="preserve">mprovement </w:t>
      </w:r>
      <w:r>
        <w:rPr>
          <w:color w:val="222222"/>
        </w:rPr>
        <w:t>S</w:t>
      </w:r>
      <w:r w:rsidRPr="00A43029">
        <w:rPr>
          <w:color w:val="222222"/>
        </w:rPr>
        <w:t>pecialist</w:t>
      </w:r>
      <w:r>
        <w:rPr>
          <w:color w:val="222222"/>
        </w:rPr>
        <w:t>;</w:t>
      </w:r>
    </w:p>
    <w:p w14:paraId="7DBB735D" w14:textId="77777777" w:rsidR="00FE3549" w:rsidRPr="00A43029" w:rsidRDefault="00FE3549" w:rsidP="00DA7C7B">
      <w:pPr>
        <w:pStyle w:val="ListParagraph"/>
        <w:numPr>
          <w:ilvl w:val="1"/>
          <w:numId w:val="42"/>
        </w:numPr>
        <w:rPr>
          <w:color w:val="222222"/>
        </w:rPr>
      </w:pPr>
      <w:r w:rsidRPr="00A43029">
        <w:rPr>
          <w:color w:val="222222"/>
        </w:rPr>
        <w:t xml:space="preserve">Purchasing </w:t>
      </w:r>
      <w:r>
        <w:rPr>
          <w:color w:val="222222"/>
        </w:rPr>
        <w:t>S</w:t>
      </w:r>
      <w:r w:rsidRPr="00A43029">
        <w:rPr>
          <w:color w:val="222222"/>
        </w:rPr>
        <w:t>pecialist</w:t>
      </w:r>
      <w:r>
        <w:rPr>
          <w:color w:val="222222"/>
        </w:rPr>
        <w:t>;</w:t>
      </w:r>
      <w:r w:rsidRPr="00A43029">
        <w:rPr>
          <w:color w:val="222222"/>
        </w:rPr>
        <w:t xml:space="preserve"> or</w:t>
      </w:r>
    </w:p>
    <w:p w14:paraId="1B45A229" w14:textId="77777777" w:rsidR="00FE3549" w:rsidRDefault="00FE3549" w:rsidP="00DA7C7B">
      <w:pPr>
        <w:pStyle w:val="ListParagraph"/>
        <w:numPr>
          <w:ilvl w:val="1"/>
          <w:numId w:val="42"/>
        </w:numPr>
        <w:rPr>
          <w:color w:val="222222"/>
        </w:rPr>
      </w:pPr>
      <w:r w:rsidRPr="00A43029">
        <w:rPr>
          <w:color w:val="222222"/>
        </w:rPr>
        <w:t xml:space="preserve">Business </w:t>
      </w:r>
      <w:r>
        <w:rPr>
          <w:color w:val="222222"/>
        </w:rPr>
        <w:t>R</w:t>
      </w:r>
      <w:r w:rsidRPr="00A43029">
        <w:rPr>
          <w:color w:val="222222"/>
        </w:rPr>
        <w:t xml:space="preserve">elations </w:t>
      </w:r>
      <w:r>
        <w:rPr>
          <w:color w:val="222222"/>
        </w:rPr>
        <w:t>C</w:t>
      </w:r>
      <w:r w:rsidRPr="00A43029">
        <w:rPr>
          <w:color w:val="222222"/>
        </w:rPr>
        <w:t>oordinator</w:t>
      </w:r>
      <w:r>
        <w:rPr>
          <w:color w:val="222222"/>
        </w:rPr>
        <w:t>.</w:t>
      </w:r>
    </w:p>
    <w:p w14:paraId="596ABD9C" w14:textId="77777777" w:rsidR="00FE3549" w:rsidRDefault="00FE3549" w:rsidP="00DA7C7B">
      <w:pPr>
        <w:pStyle w:val="ListParagraph"/>
        <w:numPr>
          <w:ilvl w:val="0"/>
          <w:numId w:val="0"/>
        </w:numPr>
        <w:ind w:left="720"/>
        <w:rPr>
          <w:color w:val="222222"/>
        </w:rPr>
      </w:pPr>
      <w:r w:rsidRPr="00A43029">
        <w:rPr>
          <w:color w:val="222222"/>
        </w:rPr>
        <w:t xml:space="preserve">The VR </w:t>
      </w:r>
      <w:r>
        <w:rPr>
          <w:color w:val="222222"/>
        </w:rPr>
        <w:t>C</w:t>
      </w:r>
      <w:r w:rsidRPr="00A43029">
        <w:rPr>
          <w:color w:val="222222"/>
        </w:rPr>
        <w:t xml:space="preserve">ounselor may accompany </w:t>
      </w:r>
      <w:r>
        <w:rPr>
          <w:color w:val="222222"/>
        </w:rPr>
        <w:t>TWC-</w:t>
      </w:r>
      <w:r w:rsidRPr="00A43029">
        <w:rPr>
          <w:color w:val="222222"/>
        </w:rPr>
        <w:t xml:space="preserve">VR staff during the worksite visit but cannot complete the </w:t>
      </w:r>
      <w:r w:rsidRPr="00366FE6">
        <w:rPr>
          <w:color w:val="222222"/>
        </w:rPr>
        <w:t>CIE Checklist.</w:t>
      </w:r>
    </w:p>
    <w:p w14:paraId="6EF8E4C8" w14:textId="77777777" w:rsidR="00FE3549" w:rsidRPr="00A43029" w:rsidRDefault="00FE3549" w:rsidP="00FE3549">
      <w:pPr>
        <w:pStyle w:val="ListParagraph"/>
        <w:rPr>
          <w:color w:val="222222"/>
        </w:rPr>
      </w:pPr>
      <w:r w:rsidRPr="004172B7">
        <w:rPr>
          <w:color w:val="222222"/>
        </w:rPr>
        <w:t xml:space="preserve">The CIE Checklist and supporting documentation </w:t>
      </w:r>
      <w:r>
        <w:rPr>
          <w:color w:val="222222"/>
        </w:rPr>
        <w:t>is</w:t>
      </w:r>
      <w:r w:rsidRPr="004172B7">
        <w:rPr>
          <w:color w:val="222222"/>
        </w:rPr>
        <w:t xml:space="preserve"> forwarded to the State Office</w:t>
      </w:r>
      <w:r>
        <w:rPr>
          <w:color w:val="222222"/>
        </w:rPr>
        <w:t xml:space="preserve"> CIE team mailbox at </w:t>
      </w:r>
      <w:hyperlink r:id="rId13" w:history="1">
        <w:r w:rsidRPr="00C967BF">
          <w:rPr>
            <w:rStyle w:val="Hyperlink"/>
          </w:rPr>
          <w:t>vr.cie@twc.texas.gov</w:t>
        </w:r>
      </w:hyperlink>
      <w:r>
        <w:rPr>
          <w:color w:val="222222"/>
        </w:rPr>
        <w:t xml:space="preserve"> for review.</w:t>
      </w:r>
    </w:p>
    <w:p w14:paraId="5D6DC810" w14:textId="77777777" w:rsidR="00FE3549" w:rsidRDefault="00FE3549" w:rsidP="00FE3549">
      <w:pPr>
        <w:pStyle w:val="ListParagraph"/>
        <w:rPr>
          <w:color w:val="222222"/>
        </w:rPr>
      </w:pPr>
      <w:r w:rsidRPr="00A43029">
        <w:rPr>
          <w:color w:val="222222"/>
        </w:rPr>
        <w:t xml:space="preserve">After receiving the </w:t>
      </w:r>
      <w:r w:rsidRPr="00366FE6">
        <w:rPr>
          <w:color w:val="222222"/>
        </w:rPr>
        <w:t>CIE checklist</w:t>
      </w:r>
      <w:r w:rsidRPr="00A43029">
        <w:rPr>
          <w:color w:val="222222"/>
        </w:rPr>
        <w:t xml:space="preserve"> and supporting documentation, the State </w:t>
      </w:r>
      <w:r>
        <w:rPr>
          <w:color w:val="222222"/>
        </w:rPr>
        <w:t>O</w:t>
      </w:r>
      <w:r w:rsidRPr="00A43029">
        <w:rPr>
          <w:color w:val="222222"/>
        </w:rPr>
        <w:t xml:space="preserve">ffice CIE </w:t>
      </w:r>
      <w:r>
        <w:rPr>
          <w:color w:val="222222"/>
        </w:rPr>
        <w:t>t</w:t>
      </w:r>
      <w:r w:rsidRPr="00A43029">
        <w:rPr>
          <w:color w:val="222222"/>
        </w:rPr>
        <w:t>eam will make a recommendation regarding the employment</w:t>
      </w:r>
      <w:r>
        <w:rPr>
          <w:color w:val="222222"/>
        </w:rPr>
        <w:t xml:space="preserve"> setting</w:t>
      </w:r>
      <w:r w:rsidRPr="00A43029">
        <w:rPr>
          <w:color w:val="222222"/>
        </w:rPr>
        <w:t xml:space="preserve">. </w:t>
      </w:r>
      <w:r>
        <w:rPr>
          <w:color w:val="222222"/>
        </w:rPr>
        <w:t xml:space="preserve">TWC-VR </w:t>
      </w:r>
      <w:r w:rsidRPr="00A43029">
        <w:rPr>
          <w:color w:val="222222"/>
        </w:rPr>
        <w:t>Executive Management will review and make the final determination if the customer's position meets the criteria for CIE.</w:t>
      </w:r>
    </w:p>
    <w:p w14:paraId="57A0EDF2" w14:textId="77777777" w:rsidR="00FE3549" w:rsidRDefault="00FE3549" w:rsidP="00FE3549">
      <w:pPr>
        <w:pStyle w:val="ListParagraph"/>
        <w:rPr>
          <w:color w:val="222222"/>
        </w:rPr>
      </w:pPr>
      <w:r w:rsidRPr="00A43029">
        <w:rPr>
          <w:color w:val="222222"/>
        </w:rPr>
        <w:t xml:space="preserve">The determination will be emailed </w:t>
      </w:r>
      <w:r>
        <w:rPr>
          <w:color w:val="222222"/>
        </w:rPr>
        <w:t>back</w:t>
      </w:r>
      <w:r w:rsidRPr="00A43029">
        <w:rPr>
          <w:color w:val="222222"/>
        </w:rPr>
        <w:t xml:space="preserve"> to the </w:t>
      </w:r>
      <w:r>
        <w:rPr>
          <w:color w:val="222222"/>
        </w:rPr>
        <w:t>TWC-</w:t>
      </w:r>
      <w:r w:rsidRPr="00A43029">
        <w:rPr>
          <w:color w:val="222222"/>
        </w:rPr>
        <w:t>VR staff who submitted the checklist.</w:t>
      </w:r>
    </w:p>
    <w:p w14:paraId="53D5387A" w14:textId="77777777" w:rsidR="00FE3549" w:rsidRDefault="00FE3549" w:rsidP="00FE3549">
      <w:pPr>
        <w:pStyle w:val="ListParagraph"/>
        <w:rPr>
          <w:color w:val="222222"/>
        </w:rPr>
      </w:pPr>
      <w:r w:rsidRPr="00A43029">
        <w:rPr>
          <w:color w:val="222222"/>
        </w:rPr>
        <w:t xml:space="preserve">The </w:t>
      </w:r>
      <w:r>
        <w:rPr>
          <w:color w:val="222222"/>
        </w:rPr>
        <w:t>TWC-VR staff who</w:t>
      </w:r>
      <w:r w:rsidRPr="00A43029">
        <w:rPr>
          <w:color w:val="222222"/>
        </w:rPr>
        <w:t xml:space="preserve"> complet</w:t>
      </w:r>
      <w:r>
        <w:rPr>
          <w:color w:val="222222"/>
        </w:rPr>
        <w:t>ed</w:t>
      </w:r>
      <w:r w:rsidRPr="00A43029">
        <w:rPr>
          <w:color w:val="222222"/>
        </w:rPr>
        <w:t xml:space="preserve"> the </w:t>
      </w:r>
      <w:r w:rsidRPr="00366FE6">
        <w:rPr>
          <w:color w:val="222222"/>
        </w:rPr>
        <w:t>CIE Checklist</w:t>
      </w:r>
      <w:r w:rsidRPr="00A43029">
        <w:rPr>
          <w:color w:val="222222"/>
        </w:rPr>
        <w:t xml:space="preserve"> must </w:t>
      </w:r>
      <w:r>
        <w:rPr>
          <w:color w:val="222222"/>
        </w:rPr>
        <w:t>inform the VR Counselor as soon as possible as not to delay the customer's informed choice.</w:t>
      </w:r>
      <w:r w:rsidRPr="00A43029">
        <w:rPr>
          <w:color w:val="222222"/>
        </w:rPr>
        <w:t xml:space="preserve"> </w:t>
      </w:r>
    </w:p>
    <w:p w14:paraId="35E478D0" w14:textId="77777777" w:rsidR="00FE3549" w:rsidRDefault="00FE3549" w:rsidP="00FE3549">
      <w:pPr>
        <w:pStyle w:val="ListParagraph"/>
        <w:rPr>
          <w:color w:val="222222"/>
        </w:rPr>
      </w:pPr>
      <w:r w:rsidRPr="002B7845">
        <w:rPr>
          <w:color w:val="222222"/>
        </w:rPr>
        <w:t>Employment</w:t>
      </w:r>
      <w:r>
        <w:rPr>
          <w:color w:val="222222"/>
        </w:rPr>
        <w:t xml:space="preserve"> settings</w:t>
      </w:r>
      <w:r w:rsidRPr="002B7845">
        <w:rPr>
          <w:color w:val="222222"/>
        </w:rPr>
        <w:t xml:space="preserve"> that do not meet the </w:t>
      </w:r>
      <w:r>
        <w:rPr>
          <w:color w:val="222222"/>
        </w:rPr>
        <w:t>criteria for</w:t>
      </w:r>
      <w:r w:rsidRPr="002B7845">
        <w:rPr>
          <w:color w:val="222222"/>
        </w:rPr>
        <w:t xml:space="preserve"> CIE cannot be </w:t>
      </w:r>
      <w:r>
        <w:rPr>
          <w:color w:val="222222"/>
        </w:rPr>
        <w:t xml:space="preserve">supported </w:t>
      </w:r>
      <w:r w:rsidRPr="002B7845">
        <w:rPr>
          <w:color w:val="222222"/>
        </w:rPr>
        <w:t xml:space="preserve">as the employment </w:t>
      </w:r>
      <w:r>
        <w:rPr>
          <w:color w:val="222222"/>
        </w:rPr>
        <w:t>goal in the Individualized Plan for Employment (IPE) or outcome of successful employment</w:t>
      </w:r>
      <w:r w:rsidRPr="002B7845">
        <w:rPr>
          <w:color w:val="222222"/>
        </w:rPr>
        <w:t>.</w:t>
      </w:r>
    </w:p>
    <w:p w14:paraId="18FB8AE6" w14:textId="77777777" w:rsidR="00FE3549" w:rsidRDefault="00FE3549" w:rsidP="00FE3549">
      <w:pPr>
        <w:pStyle w:val="ListParagraph"/>
        <w:rPr>
          <w:color w:val="222222"/>
        </w:rPr>
      </w:pPr>
      <w:r w:rsidRPr="002B7845">
        <w:rPr>
          <w:color w:val="222222"/>
        </w:rPr>
        <w:t>A customer who chooses to pursue non-CIE positions or to remain employed in a non-CIE position will be</w:t>
      </w:r>
      <w:r>
        <w:rPr>
          <w:color w:val="222222"/>
        </w:rPr>
        <w:t>—</w:t>
      </w:r>
    </w:p>
    <w:p w14:paraId="050C4A0A" w14:textId="77777777" w:rsidR="00FE3549" w:rsidRDefault="00FE3549" w:rsidP="00DA7C7B">
      <w:pPr>
        <w:pStyle w:val="ListParagraph"/>
        <w:numPr>
          <w:ilvl w:val="1"/>
          <w:numId w:val="43"/>
        </w:numPr>
        <w:rPr>
          <w:color w:val="222222"/>
        </w:rPr>
      </w:pPr>
      <w:r>
        <w:rPr>
          <w:color w:val="222222"/>
        </w:rPr>
        <w:t>P</w:t>
      </w:r>
      <w:r w:rsidRPr="002B7845">
        <w:rPr>
          <w:color w:val="222222"/>
        </w:rPr>
        <w:t xml:space="preserve">rovided </w:t>
      </w:r>
      <w:r>
        <w:rPr>
          <w:color w:val="222222"/>
        </w:rPr>
        <w:t xml:space="preserve">VR </w:t>
      </w:r>
      <w:r w:rsidRPr="002B7845">
        <w:rPr>
          <w:color w:val="222222"/>
        </w:rPr>
        <w:t>counseling and guidance on how a non-CIE position may help the customer prepare for CIE;</w:t>
      </w:r>
    </w:p>
    <w:p w14:paraId="438102C0" w14:textId="77777777" w:rsidR="00FE3549" w:rsidRDefault="00FE3549" w:rsidP="00DA7C7B">
      <w:pPr>
        <w:pStyle w:val="ListParagraph"/>
        <w:numPr>
          <w:ilvl w:val="1"/>
          <w:numId w:val="43"/>
        </w:numPr>
        <w:rPr>
          <w:color w:val="222222"/>
        </w:rPr>
      </w:pPr>
      <w:r>
        <w:rPr>
          <w:color w:val="222222"/>
        </w:rPr>
        <w:lastRenderedPageBreak/>
        <w:t>R</w:t>
      </w:r>
      <w:r w:rsidRPr="002B7845">
        <w:rPr>
          <w:color w:val="222222"/>
        </w:rPr>
        <w:t>eferred to local workforce centers for further assistance;</w:t>
      </w:r>
    </w:p>
    <w:p w14:paraId="47536487" w14:textId="77777777" w:rsidR="00FE3549" w:rsidRDefault="00FE3549" w:rsidP="00DA7C7B">
      <w:pPr>
        <w:pStyle w:val="ListParagraph"/>
        <w:numPr>
          <w:ilvl w:val="1"/>
          <w:numId w:val="43"/>
        </w:numPr>
        <w:rPr>
          <w:color w:val="222222"/>
        </w:rPr>
      </w:pPr>
      <w:r>
        <w:rPr>
          <w:color w:val="222222"/>
        </w:rPr>
        <w:t>P</w:t>
      </w:r>
      <w:r w:rsidRPr="002B7845">
        <w:rPr>
          <w:color w:val="222222"/>
        </w:rPr>
        <w:t xml:space="preserve">rovided contact information for the </w:t>
      </w:r>
      <w:r>
        <w:rPr>
          <w:color w:val="222222"/>
        </w:rPr>
        <w:t xml:space="preserve">non-CIE </w:t>
      </w:r>
      <w:r w:rsidRPr="002B7845">
        <w:rPr>
          <w:color w:val="222222"/>
        </w:rPr>
        <w:t>employer;</w:t>
      </w:r>
    </w:p>
    <w:p w14:paraId="654474A5" w14:textId="77777777" w:rsidR="00FE3549" w:rsidRDefault="00FE3549" w:rsidP="00DA7C7B">
      <w:pPr>
        <w:pStyle w:val="ListParagraph"/>
        <w:numPr>
          <w:ilvl w:val="1"/>
          <w:numId w:val="43"/>
        </w:numPr>
        <w:rPr>
          <w:color w:val="222222"/>
        </w:rPr>
      </w:pPr>
      <w:r>
        <w:rPr>
          <w:color w:val="222222"/>
        </w:rPr>
        <w:t>P</w:t>
      </w:r>
      <w:r w:rsidRPr="002B7845">
        <w:rPr>
          <w:color w:val="222222"/>
        </w:rPr>
        <w:t>rovided a </w:t>
      </w:r>
      <w:r w:rsidRPr="00C538A4">
        <w:rPr>
          <w:i/>
          <w:iCs/>
          <w:color w:val="222222"/>
        </w:rPr>
        <w:t>Checklist for Determining Significance of Disability (VR1390)</w:t>
      </w:r>
      <w:r>
        <w:rPr>
          <w:color w:val="222222"/>
        </w:rPr>
        <w:t xml:space="preserve"> </w:t>
      </w:r>
      <w:r w:rsidRPr="002B7845">
        <w:rPr>
          <w:color w:val="222222"/>
        </w:rPr>
        <w:t>or letter if needed to verify disability with the employer;</w:t>
      </w:r>
    </w:p>
    <w:p w14:paraId="0E3BC379" w14:textId="77777777" w:rsidR="00FE3549" w:rsidRPr="002B7845" w:rsidRDefault="00FE3549" w:rsidP="00DA7C7B">
      <w:pPr>
        <w:pStyle w:val="ListParagraph"/>
        <w:numPr>
          <w:ilvl w:val="1"/>
          <w:numId w:val="43"/>
        </w:numPr>
        <w:rPr>
          <w:color w:val="222222"/>
        </w:rPr>
      </w:pPr>
      <w:r>
        <w:rPr>
          <w:color w:val="222222"/>
        </w:rPr>
        <w:t>R</w:t>
      </w:r>
      <w:r w:rsidRPr="002B7845">
        <w:rPr>
          <w:color w:val="222222"/>
        </w:rPr>
        <w:t>eferred to extended service providers for long-term supports; and/or</w:t>
      </w:r>
    </w:p>
    <w:p w14:paraId="25C6B128" w14:textId="77777777" w:rsidR="00FE3549" w:rsidRPr="002B7845" w:rsidRDefault="00FE3549" w:rsidP="00DA7C7B">
      <w:pPr>
        <w:pStyle w:val="ListParagraph"/>
        <w:numPr>
          <w:ilvl w:val="1"/>
          <w:numId w:val="43"/>
        </w:numPr>
        <w:rPr>
          <w:color w:val="222222"/>
        </w:rPr>
      </w:pPr>
      <w:r>
        <w:rPr>
          <w:color w:val="222222"/>
        </w:rPr>
        <w:t>P</w:t>
      </w:r>
      <w:r w:rsidRPr="002B7845">
        <w:rPr>
          <w:color w:val="222222"/>
        </w:rPr>
        <w:t xml:space="preserve">rovided </w:t>
      </w:r>
      <w:r>
        <w:rPr>
          <w:color w:val="222222"/>
        </w:rPr>
        <w:t xml:space="preserve">information </w:t>
      </w:r>
      <w:r w:rsidRPr="002B7845">
        <w:rPr>
          <w:color w:val="222222"/>
        </w:rPr>
        <w:t xml:space="preserve">on closing the </w:t>
      </w:r>
      <w:r>
        <w:rPr>
          <w:color w:val="222222"/>
        </w:rPr>
        <w:t>TWC-</w:t>
      </w:r>
      <w:r w:rsidRPr="002B7845">
        <w:rPr>
          <w:color w:val="222222"/>
        </w:rPr>
        <w:t>VR case due to extended employment</w:t>
      </w:r>
      <w:r>
        <w:rPr>
          <w:color w:val="222222"/>
        </w:rPr>
        <w:t xml:space="preserve"> (i.e., employed in a non-integrated setting)</w:t>
      </w:r>
      <w:r w:rsidRPr="002B7845">
        <w:rPr>
          <w:color w:val="222222"/>
        </w:rPr>
        <w:t>.</w:t>
      </w:r>
    </w:p>
    <w:p w14:paraId="528707D9" w14:textId="77777777" w:rsidR="00FE3549" w:rsidRPr="002B7845" w:rsidRDefault="00FE3549" w:rsidP="00FE3549">
      <w:r w:rsidRPr="002B7845">
        <w:t xml:space="preserve">The VR </w:t>
      </w:r>
      <w:r>
        <w:t>C</w:t>
      </w:r>
      <w:r w:rsidRPr="002B7845">
        <w:t>ounselor document</w:t>
      </w:r>
      <w:r>
        <w:t>s</w:t>
      </w:r>
      <w:r w:rsidRPr="002B7845">
        <w:t xml:space="preserve"> the outcome of the CIE review </w:t>
      </w:r>
      <w:r>
        <w:t xml:space="preserve">determination </w:t>
      </w:r>
      <w:r w:rsidRPr="002B7845">
        <w:t xml:space="preserve">and corresponding </w:t>
      </w:r>
      <w:r>
        <w:t xml:space="preserve">VR counseling and guidance </w:t>
      </w:r>
      <w:r w:rsidRPr="002B7845">
        <w:t>in a case note.</w:t>
      </w:r>
    </w:p>
    <w:p w14:paraId="424771A3" w14:textId="5817096D" w:rsidR="00145D80" w:rsidRDefault="009033A9" w:rsidP="00DF5CB7">
      <w:pPr>
        <w:pStyle w:val="Heading2"/>
      </w:pPr>
      <w:r>
        <w:t>APPROVALS &amp; CONSULTATIONS</w:t>
      </w:r>
    </w:p>
    <w:p w14:paraId="3018B412" w14:textId="0D08AE24" w:rsidR="009033A9" w:rsidRPr="00E57035" w:rsidRDefault="00A70A57" w:rsidP="00DA7C7B">
      <w:r w:rsidRPr="00E57035">
        <w:t>There are no approvals or consultations for this policy and these procedures</w:t>
      </w:r>
      <w:r w:rsidR="00133CB2" w:rsidRPr="00E57035">
        <w:t>.</w:t>
      </w:r>
    </w:p>
    <w:p w14:paraId="1F3139C3" w14:textId="77777777" w:rsidR="00F42680" w:rsidRPr="004D02B9" w:rsidRDefault="00F42680" w:rsidP="00F42680">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3E81ACEE" w14:textId="77777777" w:rsidR="00F42680" w:rsidRPr="009D5287" w:rsidRDefault="00F42680" w:rsidP="00F4268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F42680" w:rsidRPr="009D5287" w14:paraId="3E12FF06" w14:textId="77777777" w:rsidTr="009E3FCC">
        <w:trPr>
          <w:trHeight w:val="636"/>
        </w:trPr>
        <w:tc>
          <w:tcPr>
            <w:tcW w:w="1886" w:type="dxa"/>
            <w:shd w:val="clear" w:color="auto" w:fill="F0F4FA" w:themeFill="accent4"/>
            <w:vAlign w:val="center"/>
          </w:tcPr>
          <w:p w14:paraId="0FD3FE0E" w14:textId="77777777" w:rsidR="00F42680" w:rsidRPr="009D5287" w:rsidRDefault="00F42680"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52C61F86" w14:textId="77777777" w:rsidR="00F42680" w:rsidRPr="009D5287" w:rsidRDefault="00F42680" w:rsidP="009E3FCC">
            <w:pPr>
              <w:rPr>
                <w:b/>
                <w:lang w:val="en" w:eastAsia="ja-JP"/>
              </w:rPr>
            </w:pPr>
            <w:r w:rsidRPr="009D5287">
              <w:rPr>
                <w:b/>
                <w:lang w:val="en" w:eastAsia="ja-JP"/>
              </w:rPr>
              <w:t>Type</w:t>
            </w:r>
          </w:p>
        </w:tc>
        <w:tc>
          <w:tcPr>
            <w:tcW w:w="7042" w:type="dxa"/>
            <w:shd w:val="clear" w:color="auto" w:fill="F0F4FA" w:themeFill="accent4"/>
            <w:vAlign w:val="center"/>
          </w:tcPr>
          <w:p w14:paraId="15B4399D" w14:textId="77777777" w:rsidR="00F42680" w:rsidRPr="009D5287" w:rsidRDefault="00F42680" w:rsidP="009E3FCC">
            <w:pPr>
              <w:rPr>
                <w:b/>
                <w:lang w:val="en" w:eastAsia="ja-JP"/>
              </w:rPr>
            </w:pPr>
            <w:r w:rsidRPr="009D5287">
              <w:rPr>
                <w:b/>
                <w:lang w:val="en" w:eastAsia="ja-JP"/>
              </w:rPr>
              <w:t>Change Description</w:t>
            </w:r>
          </w:p>
        </w:tc>
      </w:tr>
      <w:tr w:rsidR="00F42680" w:rsidRPr="009D5287" w14:paraId="4215B31B" w14:textId="77777777" w:rsidTr="009E3FCC">
        <w:trPr>
          <w:trHeight w:val="619"/>
        </w:trPr>
        <w:tc>
          <w:tcPr>
            <w:tcW w:w="1886" w:type="dxa"/>
          </w:tcPr>
          <w:p w14:paraId="79CE4B7D" w14:textId="77777777" w:rsidR="00F42680" w:rsidRPr="009D5287" w:rsidRDefault="00F42680"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7A32F118" w14:textId="77777777" w:rsidR="00F42680" w:rsidRPr="009D5287" w:rsidRDefault="00F42680" w:rsidP="009E3FCC">
            <w:r w:rsidRPr="009D5287">
              <w:t>New</w:t>
            </w:r>
          </w:p>
        </w:tc>
        <w:tc>
          <w:tcPr>
            <w:tcW w:w="7042" w:type="dxa"/>
          </w:tcPr>
          <w:p w14:paraId="0F581B22" w14:textId="77777777" w:rsidR="00F42680" w:rsidRPr="009D5287" w:rsidRDefault="00F42680" w:rsidP="009E3FCC">
            <w:pPr>
              <w:rPr>
                <w:lang w:val="en" w:eastAsia="ja-JP"/>
              </w:rPr>
            </w:pPr>
            <w:r w:rsidRPr="009D5287">
              <w:t>VRSM Policy and Procedure Rewrite</w:t>
            </w:r>
          </w:p>
        </w:tc>
      </w:tr>
    </w:tbl>
    <w:p w14:paraId="5EB73B5E" w14:textId="3CABC3A4"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3861" w14:textId="77777777" w:rsidR="00AD0BDB" w:rsidRDefault="00AD0BDB" w:rsidP="00895186">
      <w:r>
        <w:separator/>
      </w:r>
    </w:p>
  </w:endnote>
  <w:endnote w:type="continuationSeparator" w:id="0">
    <w:p w14:paraId="0B330DB5" w14:textId="77777777" w:rsidR="00AD0BDB" w:rsidRDefault="00AD0BDB"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19C7A408" w:rsidR="00B24E6C" w:rsidRDefault="00FE3549" w:rsidP="00895186">
    <w:pPr>
      <w:pStyle w:val="Footer"/>
    </w:pPr>
    <w:r>
      <w:rPr>
        <w:noProof/>
      </w:rPr>
      <mc:AlternateContent>
        <mc:Choice Requires="wps">
          <w:drawing>
            <wp:anchor distT="0" distB="0" distL="114300" distR="114300" simplePos="0" relativeHeight="251661312" behindDoc="0" locked="0" layoutInCell="1" allowOverlap="1" wp14:anchorId="00B0B3F3" wp14:editId="25E182CE">
              <wp:simplePos x="0" y="0"/>
              <wp:positionH relativeFrom="column">
                <wp:posOffset>-374015</wp:posOffset>
              </wp:positionH>
              <wp:positionV relativeFrom="paragraph">
                <wp:posOffset>5715</wp:posOffset>
              </wp:positionV>
              <wp:extent cx="429196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91965" cy="488950"/>
                      </a:xfrm>
                      <a:prstGeom prst="rect">
                        <a:avLst/>
                      </a:prstGeom>
                      <a:noFill/>
                      <a:ln w="6350">
                        <a:noFill/>
                      </a:ln>
                    </wps:spPr>
                    <wps:txbx>
                      <w:txbxContent>
                        <w:p w14:paraId="25686EF3" w14:textId="1E2EF35E" w:rsidR="00501E08" w:rsidRPr="00501E08" w:rsidRDefault="00FE3549" w:rsidP="00895186">
                          <w:r>
                            <w:t>Part B, Chapter 2.2: Competitive Integrated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37.9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" filled="f" stroked="f" strokeweight=".5pt">
              <v:textbox>
                <w:txbxContent>
                  <w:p w14:paraId="25686EF3" w14:textId="1E2EF35E" w:rsidR="00501E08" w:rsidRPr="00501E08" w:rsidRDefault="00FE3549" w:rsidP="00895186">
                    <w:r>
                      <w:t>Part B, Chapter 2.2: Competitive Integrated Employment</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F8AA3F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F410" w14:textId="77777777" w:rsidR="00AD0BDB" w:rsidRDefault="00AD0BDB" w:rsidP="00895186">
      <w:r>
        <w:separator/>
      </w:r>
    </w:p>
  </w:footnote>
  <w:footnote w:type="continuationSeparator" w:id="0">
    <w:p w14:paraId="41498CAF" w14:textId="77777777" w:rsidR="00AD0BDB" w:rsidRDefault="00AD0BDB"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CD410E"/>
    <w:multiLevelType w:val="multilevel"/>
    <w:tmpl w:val="55145C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1B7272"/>
    <w:multiLevelType w:val="multilevel"/>
    <w:tmpl w:val="F03CE2BC"/>
    <w:lvl w:ilvl="0">
      <w:start w:val="1"/>
      <w:numFmt w:val="upperLetter"/>
      <w:lvlText w:val="%1."/>
      <w:lvlJc w:val="left"/>
      <w:pPr>
        <w:ind w:left="504" w:hanging="360"/>
      </w:pPr>
      <w:rPr>
        <w:rFonts w:hint="default"/>
        <w:b w:val="0"/>
        <w:i w:val="0"/>
        <w:sz w:val="24"/>
      </w:rPr>
    </w:lvl>
    <w:lvl w:ilvl="1">
      <w:start w:val="1"/>
      <w:numFmt w:val="decimal"/>
      <w:lvlText w:val="%2."/>
      <w:lvlJc w:val="left"/>
      <w:pPr>
        <w:ind w:left="1152" w:hanging="360"/>
      </w:p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2"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63ED1"/>
    <w:multiLevelType w:val="multilevel"/>
    <w:tmpl w:val="B00C30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4"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5"/>
  </w:num>
  <w:num w:numId="4" w16cid:durableId="109056539">
    <w:abstractNumId w:val="29"/>
  </w:num>
  <w:num w:numId="5" w16cid:durableId="1893686843">
    <w:abstractNumId w:val="21"/>
  </w:num>
  <w:num w:numId="6" w16cid:durableId="760954600">
    <w:abstractNumId w:val="24"/>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5"/>
  </w:num>
  <w:num w:numId="12" w16cid:durableId="1548175440">
    <w:abstractNumId w:val="30"/>
  </w:num>
  <w:num w:numId="13" w16cid:durableId="975644156">
    <w:abstractNumId w:val="6"/>
  </w:num>
  <w:num w:numId="14" w16cid:durableId="2099713293">
    <w:abstractNumId w:val="17"/>
  </w:num>
  <w:num w:numId="15" w16cid:durableId="1594316770">
    <w:abstractNumId w:val="22"/>
  </w:num>
  <w:num w:numId="16" w16cid:durableId="700741873">
    <w:abstractNumId w:val="27"/>
  </w:num>
  <w:num w:numId="17" w16cid:durableId="1651835230">
    <w:abstractNumId w:val="16"/>
  </w:num>
  <w:num w:numId="18" w16cid:durableId="883299119">
    <w:abstractNumId w:val="28"/>
  </w:num>
  <w:num w:numId="19" w16cid:durableId="84305632">
    <w:abstractNumId w:val="11"/>
  </w:num>
  <w:num w:numId="20" w16cid:durableId="1057705478">
    <w:abstractNumId w:val="34"/>
  </w:num>
  <w:num w:numId="21" w16cid:durableId="96758055">
    <w:abstractNumId w:val="23"/>
  </w:num>
  <w:num w:numId="22" w16cid:durableId="722797963">
    <w:abstractNumId w:val="8"/>
  </w:num>
  <w:num w:numId="23" w16cid:durableId="1638485069">
    <w:abstractNumId w:val="14"/>
  </w:num>
  <w:num w:numId="24" w16cid:durableId="1439984590">
    <w:abstractNumId w:val="34"/>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5"/>
  </w:num>
  <w:num w:numId="32" w16cid:durableId="191573243">
    <w:abstractNumId w:val="26"/>
  </w:num>
  <w:num w:numId="33" w16cid:durableId="718751240">
    <w:abstractNumId w:val="3"/>
  </w:num>
  <w:num w:numId="34" w16cid:durableId="1367289556">
    <w:abstractNumId w:val="19"/>
  </w:num>
  <w:num w:numId="35" w16cid:durableId="1934777624">
    <w:abstractNumId w:val="10"/>
  </w:num>
  <w:num w:numId="36" w16cid:durableId="1647272484">
    <w:abstractNumId w:val="32"/>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807033">
    <w:abstractNumId w:val="31"/>
  </w:num>
  <w:num w:numId="40" w16cid:durableId="129322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2827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5746335">
    <w:abstractNumId w:val="33"/>
  </w:num>
  <w:num w:numId="43" w16cid:durableId="20605872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2DBD"/>
    <w:rsid w:val="00003D40"/>
    <w:rsid w:val="000172DD"/>
    <w:rsid w:val="00033AAF"/>
    <w:rsid w:val="00036423"/>
    <w:rsid w:val="000509C5"/>
    <w:rsid w:val="00052545"/>
    <w:rsid w:val="000538A8"/>
    <w:rsid w:val="0005762A"/>
    <w:rsid w:val="00094031"/>
    <w:rsid w:val="000A1F40"/>
    <w:rsid w:val="000B1231"/>
    <w:rsid w:val="000B3B97"/>
    <w:rsid w:val="000B6B09"/>
    <w:rsid w:val="000E34FB"/>
    <w:rsid w:val="000F19D6"/>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155F3"/>
    <w:rsid w:val="00330015"/>
    <w:rsid w:val="0033181C"/>
    <w:rsid w:val="00340B05"/>
    <w:rsid w:val="003500F1"/>
    <w:rsid w:val="00352069"/>
    <w:rsid w:val="00380C78"/>
    <w:rsid w:val="00381C86"/>
    <w:rsid w:val="00387B68"/>
    <w:rsid w:val="003B11A4"/>
    <w:rsid w:val="003E1761"/>
    <w:rsid w:val="004049CB"/>
    <w:rsid w:val="00414B84"/>
    <w:rsid w:val="00417839"/>
    <w:rsid w:val="00420B1A"/>
    <w:rsid w:val="00422F66"/>
    <w:rsid w:val="00437552"/>
    <w:rsid w:val="0044342D"/>
    <w:rsid w:val="00463484"/>
    <w:rsid w:val="00472E58"/>
    <w:rsid w:val="00473095"/>
    <w:rsid w:val="0049537E"/>
    <w:rsid w:val="004E6008"/>
    <w:rsid w:val="004F5EEC"/>
    <w:rsid w:val="00501E08"/>
    <w:rsid w:val="00507EDE"/>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339E"/>
    <w:rsid w:val="008749BC"/>
    <w:rsid w:val="00877B4B"/>
    <w:rsid w:val="00880480"/>
    <w:rsid w:val="0088714E"/>
    <w:rsid w:val="00894538"/>
    <w:rsid w:val="00895186"/>
    <w:rsid w:val="00896AC1"/>
    <w:rsid w:val="008A37E9"/>
    <w:rsid w:val="008B322A"/>
    <w:rsid w:val="008B46E0"/>
    <w:rsid w:val="008C7BD5"/>
    <w:rsid w:val="008D7314"/>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0BDB"/>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A7C7B"/>
    <w:rsid w:val="00DB5FC8"/>
    <w:rsid w:val="00DC3298"/>
    <w:rsid w:val="00DC3C01"/>
    <w:rsid w:val="00DE1623"/>
    <w:rsid w:val="00DE30FB"/>
    <w:rsid w:val="00DF5CB7"/>
    <w:rsid w:val="00E00C55"/>
    <w:rsid w:val="00E012A7"/>
    <w:rsid w:val="00E13DCC"/>
    <w:rsid w:val="00E1540C"/>
    <w:rsid w:val="00E16BE9"/>
    <w:rsid w:val="00E22B68"/>
    <w:rsid w:val="00E23F3D"/>
    <w:rsid w:val="00E4574C"/>
    <w:rsid w:val="00E57035"/>
    <w:rsid w:val="00E73325"/>
    <w:rsid w:val="00E73894"/>
    <w:rsid w:val="00E759EC"/>
    <w:rsid w:val="00E81B1A"/>
    <w:rsid w:val="00E83ABD"/>
    <w:rsid w:val="00E943C0"/>
    <w:rsid w:val="00E95975"/>
    <w:rsid w:val="00EF55C3"/>
    <w:rsid w:val="00F01C9E"/>
    <w:rsid w:val="00F0306B"/>
    <w:rsid w:val="00F04098"/>
    <w:rsid w:val="00F1048D"/>
    <w:rsid w:val="00F21255"/>
    <w:rsid w:val="00F35720"/>
    <w:rsid w:val="00F42680"/>
    <w:rsid w:val="00F54EFD"/>
    <w:rsid w:val="00F5573C"/>
    <w:rsid w:val="00F615A4"/>
    <w:rsid w:val="00F63D84"/>
    <w:rsid w:val="00F82376"/>
    <w:rsid w:val="00FA3AD4"/>
    <w:rsid w:val="00FB0EFF"/>
    <w:rsid w:val="00FB3EB4"/>
    <w:rsid w:val="00FB450E"/>
    <w:rsid w:val="00FD4946"/>
    <w:rsid w:val="00FE13C4"/>
    <w:rsid w:val="00FE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E3549"/>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r.cie@twc.texa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nfo.gov/link/uscode/29/20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B849E-D682-4E21-B708-A5DEBA751AA5}">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14A82684-DEBF-4D45-BDFC-0D682B58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D5A2B-6A31-425B-B5A0-5AF00CD3A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2.2 - Competitive Integrated Employment</dc:title>
  <dc:subject/>
  <dc:creator>TWC-VR</dc:creator>
  <cp:keywords>Texas Workforce Commission Vocational Rehabilitation Services Manual (VRSM) policy</cp:keywords>
  <dc:description/>
  <cp:lastModifiedBy>Scott (Adetoro),Lavonia</cp:lastModifiedBy>
  <cp:revision>12</cp:revision>
  <dcterms:created xsi:type="dcterms:W3CDTF">2024-07-24T18:52:00Z</dcterms:created>
  <dcterms:modified xsi:type="dcterms:W3CDTF">2024-08-14T15:37:00Z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