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97A3" w14:textId="4AC0C5C5" w:rsidR="002A345C" w:rsidRPr="00D77322" w:rsidRDefault="009C13A1" w:rsidP="009C13A1">
      <w:pPr>
        <w:pStyle w:val="Heading1"/>
      </w:pPr>
      <w:r>
        <w:t xml:space="preserve">PART </w:t>
      </w:r>
      <w:r w:rsidR="0014566F">
        <w:t>B</w:t>
      </w:r>
      <w:r w:rsidR="00AE45F0">
        <w:t>, CHAPTER 1</w:t>
      </w:r>
      <w:r>
        <w:t>:</w:t>
      </w:r>
      <w:r w:rsidR="00AE45F0">
        <w:br/>
      </w:r>
      <w:r w:rsidR="00535EF8">
        <w:t>VOCATIONAL REHABILITATION</w:t>
      </w:r>
      <w:r w:rsidR="0014566F">
        <w:t xml:space="preserve"> PROCESS</w:t>
      </w:r>
      <w:r w:rsidR="00270679">
        <w:t xml:space="preserve"> INTRODUCTION</w:t>
      </w:r>
    </w:p>
    <w:tbl>
      <w:tblPr>
        <w:tblStyle w:val="TableGrid2"/>
        <w:tblW w:w="0" w:type="auto"/>
        <w:tblLook w:val="04A0" w:firstRow="1" w:lastRow="0" w:firstColumn="1" w:lastColumn="0" w:noHBand="0" w:noVBand="1"/>
      </w:tblPr>
      <w:tblGrid>
        <w:gridCol w:w="3145"/>
        <w:gridCol w:w="7069"/>
      </w:tblGrid>
      <w:tr w:rsidR="00895186" w:rsidRPr="00414B84" w14:paraId="5CFE8EC2" w14:textId="77777777" w:rsidTr="00270679">
        <w:trPr>
          <w:tblHeader/>
        </w:trPr>
        <w:tc>
          <w:tcPr>
            <w:tcW w:w="3145" w:type="dxa"/>
            <w:tcBorders>
              <w:top w:val="single" w:sz="12" w:space="0" w:color="222D69"/>
            </w:tcBorders>
            <w:shd w:val="clear" w:color="auto" w:fill="F0F4FA"/>
            <w:vAlign w:val="center"/>
          </w:tcPr>
          <w:p w14:paraId="6D6046D7" w14:textId="77777777" w:rsidR="00224B5C" w:rsidRPr="00414B84" w:rsidRDefault="00224B5C" w:rsidP="00414B84">
            <w:pPr>
              <w:pStyle w:val="THead"/>
              <w:rPr>
                <w:sz w:val="24"/>
                <w:szCs w:val="24"/>
                <w:lang w:val="en" w:eastAsia="ja-JP"/>
              </w:rPr>
            </w:pPr>
            <w:r w:rsidRPr="00414B84">
              <w:rPr>
                <w:sz w:val="24"/>
                <w:szCs w:val="24"/>
                <w:lang w:val="en" w:eastAsia="ja-JP"/>
              </w:rPr>
              <w:t>Policy Number</w:t>
            </w:r>
          </w:p>
        </w:tc>
        <w:tc>
          <w:tcPr>
            <w:tcW w:w="7069" w:type="dxa"/>
            <w:tcBorders>
              <w:top w:val="single" w:sz="12" w:space="0" w:color="222D69"/>
            </w:tcBorders>
            <w:shd w:val="clear" w:color="auto" w:fill="F0F4FA"/>
            <w:vAlign w:val="center"/>
          </w:tcPr>
          <w:p w14:paraId="218A9839" w14:textId="053EF5C4" w:rsidR="00224B5C" w:rsidRPr="00414B84" w:rsidRDefault="00270679" w:rsidP="00414B84">
            <w:pPr>
              <w:pStyle w:val="THead"/>
              <w:rPr>
                <w:sz w:val="24"/>
                <w:szCs w:val="24"/>
                <w:lang w:val="en" w:eastAsia="ja-JP"/>
              </w:rPr>
            </w:pPr>
            <w:r>
              <w:rPr>
                <w:sz w:val="24"/>
                <w:szCs w:val="24"/>
                <w:lang w:val="en" w:eastAsia="ja-JP"/>
              </w:rPr>
              <w:t>Effective Date</w:t>
            </w:r>
          </w:p>
        </w:tc>
      </w:tr>
      <w:tr w:rsidR="00224B5C" w:rsidRPr="00895186" w14:paraId="4C6CED8F" w14:textId="77777777" w:rsidTr="00270679">
        <w:tc>
          <w:tcPr>
            <w:tcW w:w="3145" w:type="dxa"/>
            <w:vAlign w:val="center"/>
          </w:tcPr>
          <w:p w14:paraId="4BDDEF0A" w14:textId="073FA8D1" w:rsidR="00224B5C" w:rsidRPr="00204AEA" w:rsidRDefault="00270679" w:rsidP="00895186">
            <w:pPr>
              <w:rPr>
                <w:b/>
                <w:bCs/>
                <w:sz w:val="24"/>
                <w:szCs w:val="24"/>
                <w:lang w:val="en" w:eastAsia="ja-JP"/>
              </w:rPr>
            </w:pPr>
            <w:r w:rsidRPr="00414B84">
              <w:rPr>
                <w:sz w:val="24"/>
                <w:szCs w:val="24"/>
                <w:lang w:val="en" w:eastAsia="ja-JP"/>
              </w:rPr>
              <w:t xml:space="preserve">Part </w:t>
            </w:r>
            <w:r>
              <w:rPr>
                <w:sz w:val="24"/>
                <w:szCs w:val="24"/>
                <w:lang w:val="en" w:eastAsia="ja-JP"/>
              </w:rPr>
              <w:t>B</w:t>
            </w:r>
            <w:r w:rsidRPr="00414B84">
              <w:rPr>
                <w:sz w:val="24"/>
                <w:szCs w:val="24"/>
                <w:lang w:val="en" w:eastAsia="ja-JP"/>
              </w:rPr>
              <w:t xml:space="preserve">, Chapter </w:t>
            </w:r>
            <w:r>
              <w:rPr>
                <w:sz w:val="24"/>
                <w:szCs w:val="24"/>
                <w:lang w:val="en" w:eastAsia="ja-JP"/>
              </w:rPr>
              <w:t>1</w:t>
            </w:r>
          </w:p>
        </w:tc>
        <w:tc>
          <w:tcPr>
            <w:tcW w:w="7069" w:type="dxa"/>
            <w:vAlign w:val="center"/>
          </w:tcPr>
          <w:p w14:paraId="1C282DAC" w14:textId="3D93DCCB" w:rsidR="00224B5C" w:rsidRPr="00895186" w:rsidRDefault="004C5E23" w:rsidP="00895186">
            <w:pPr>
              <w:rPr>
                <w:sz w:val="24"/>
                <w:szCs w:val="24"/>
                <w:lang w:val="en" w:eastAsia="ja-JP"/>
              </w:rPr>
            </w:pPr>
            <w:r>
              <w:rPr>
                <w:sz w:val="24"/>
                <w:szCs w:val="24"/>
                <w:lang w:val="en" w:eastAsia="ja-JP"/>
              </w:rPr>
              <w:t>09/03/2024</w:t>
            </w:r>
          </w:p>
        </w:tc>
      </w:tr>
    </w:tbl>
    <w:p w14:paraId="0C6243EA" w14:textId="5A845168" w:rsidR="00995554" w:rsidRPr="00AD4C2A" w:rsidRDefault="00270679" w:rsidP="00330015">
      <w:pPr>
        <w:pStyle w:val="Heading2"/>
      </w:pPr>
      <w:r>
        <w:t>OVERVIEW</w:t>
      </w:r>
    </w:p>
    <w:p w14:paraId="1799960F" w14:textId="77777777" w:rsidR="0014566F" w:rsidRPr="000D1A42" w:rsidRDefault="0014566F" w:rsidP="0014566F">
      <w:pPr>
        <w:rPr>
          <w:lang w:val="en"/>
        </w:rPr>
      </w:pPr>
      <w:r w:rsidRPr="000D1A42">
        <w:rPr>
          <w:lang w:val="en"/>
        </w:rPr>
        <w:t>Part B serves as the requirements related to the vocational rehabilitation (VR) process, beginning with a general overview and ending with case closure. The VR process is not always linear, and various steps in the VR process may need to be revisited when circumstances change for the customer. For example, once an Individualized Plan for Employment (IPE) is completed and services have been initiated, a change in the customer's circumstances might require additional assessments, an updated employment goal, an interruption of services, or a change to the services originally included in the IPE, which would require an IPE amendment.</w:t>
      </w:r>
    </w:p>
    <w:p w14:paraId="7A1E721F" w14:textId="77777777" w:rsidR="0014566F" w:rsidRPr="000D1A42" w:rsidRDefault="0014566F" w:rsidP="0014566F">
      <w:pPr>
        <w:rPr>
          <w:lang w:val="en"/>
        </w:rPr>
      </w:pPr>
      <w:r w:rsidRPr="000D1A42">
        <w:rPr>
          <w:lang w:val="en"/>
        </w:rPr>
        <w:t>This section addresses the specific roles and responsibilities of the VR team, which is made up of a group of individuals who share responsibility for informing, educating, advocating, facilitating, and encouraging the customer as the customer makes informed decisions to reach their employment goal.</w:t>
      </w:r>
    </w:p>
    <w:p w14:paraId="7D0D03B2" w14:textId="77777777" w:rsidR="0014566F" w:rsidRPr="000D1A42" w:rsidRDefault="0014566F" w:rsidP="0014566F">
      <w:pPr>
        <w:rPr>
          <w:lang w:val="en"/>
        </w:rPr>
      </w:pPr>
      <w:r w:rsidRPr="000D1A42">
        <w:rPr>
          <w:lang w:val="en"/>
        </w:rPr>
        <w:t>Additionally, Part B includes competitive integrated employment, informed choice, initial contacts and applications, eligibility determination, Order of Selection, Trial Work Experience, comprehensive assessment, IPE development, Computerized Criminal History search, and case closure.</w:t>
      </w:r>
    </w:p>
    <w:p w14:paraId="7753CE5A" w14:textId="77777777" w:rsidR="0014566F" w:rsidRPr="000D1A42" w:rsidRDefault="0014566F" w:rsidP="0014566F">
      <w:r w:rsidRPr="000D1A42">
        <w:rPr>
          <w:lang w:val="en"/>
        </w:rPr>
        <w:t>Questions related to Part B policies and procedures can be emailed to the</w:t>
      </w:r>
      <w:r w:rsidRPr="000D1A42">
        <w:t xml:space="preserve"> Policy Planning and Statewide Initiatives Team (PPSI) at </w:t>
      </w:r>
      <w:hyperlink r:id="rId8" w:history="1">
        <w:r w:rsidRPr="000D1A42">
          <w:rPr>
            <w:rStyle w:val="Hyperlink"/>
          </w:rPr>
          <w:t>vrsm.support@twc.texas.gov</w:t>
        </w:r>
      </w:hyperlink>
      <w:r w:rsidRPr="000D1A42">
        <w:t>.</w:t>
      </w:r>
    </w:p>
    <w:p w14:paraId="5EB73B5E" w14:textId="2E31E6B9" w:rsidR="001901F0" w:rsidRDefault="00535EF8" w:rsidP="00DF2613">
      <w:pPr>
        <w:pStyle w:val="Heading2"/>
      </w:pPr>
      <w:r>
        <w:t>CONTENTS</w:t>
      </w:r>
    </w:p>
    <w:p w14:paraId="7F396BBD" w14:textId="5F8E2758" w:rsidR="0014566F" w:rsidRPr="0014566F" w:rsidRDefault="0014566F" w:rsidP="0014566F">
      <w:pPr>
        <w:pStyle w:val="List-TOC"/>
        <w:shd w:val="clear" w:color="auto" w:fill="F0F4FA" w:themeFill="accent4"/>
        <w:rPr>
          <w:b/>
          <w:bCs/>
        </w:rPr>
      </w:pPr>
      <w:r w:rsidRPr="0014566F">
        <w:rPr>
          <w:b/>
          <w:bCs/>
        </w:rPr>
        <w:t xml:space="preserve">Part B: </w:t>
      </w:r>
      <w:r w:rsidR="00E61C41">
        <w:rPr>
          <w:b/>
          <w:bCs/>
        </w:rPr>
        <w:t>Vocational Rehabilitation Process Introduction</w:t>
      </w:r>
    </w:p>
    <w:p w14:paraId="58E7287F" w14:textId="77777777" w:rsidR="0014566F" w:rsidRPr="0014566F" w:rsidRDefault="0014566F" w:rsidP="0014566F">
      <w:pPr>
        <w:pStyle w:val="List-TOC"/>
        <w:shd w:val="clear" w:color="auto" w:fill="F0F4FA" w:themeFill="accent4"/>
        <w:rPr>
          <w:b/>
          <w:bCs/>
        </w:rPr>
      </w:pPr>
      <w:r w:rsidRPr="0014566F">
        <w:rPr>
          <w:b/>
          <w:bCs/>
        </w:rPr>
        <w:t>VR Process</w:t>
      </w:r>
    </w:p>
    <w:p w14:paraId="37096D46" w14:textId="77777777" w:rsidR="0014566F" w:rsidRPr="0014566F" w:rsidRDefault="0014566F" w:rsidP="0014566F">
      <w:pPr>
        <w:pStyle w:val="List-TOC"/>
        <w:numPr>
          <w:ilvl w:val="1"/>
          <w:numId w:val="44"/>
        </w:numPr>
        <w:shd w:val="clear" w:color="auto" w:fill="F8E4DB" w:themeFill="accent5" w:themeFillTint="33"/>
      </w:pPr>
      <w:r w:rsidRPr="0014566F">
        <w:t>Overview of the VR Process</w:t>
      </w:r>
    </w:p>
    <w:p w14:paraId="7FB1E7CC" w14:textId="77777777" w:rsidR="0014566F" w:rsidRPr="0014566F" w:rsidRDefault="0014566F" w:rsidP="0014566F">
      <w:pPr>
        <w:pStyle w:val="List-TOC"/>
        <w:numPr>
          <w:ilvl w:val="1"/>
          <w:numId w:val="44"/>
        </w:numPr>
        <w:shd w:val="clear" w:color="auto" w:fill="F8E4DB" w:themeFill="accent5" w:themeFillTint="33"/>
      </w:pPr>
      <w:r w:rsidRPr="0014566F">
        <w:t>Competitive Integrated Employment (CIE)</w:t>
      </w:r>
    </w:p>
    <w:p w14:paraId="6716875A" w14:textId="77777777" w:rsidR="0014566F" w:rsidRPr="0014566F" w:rsidRDefault="0014566F" w:rsidP="0014566F">
      <w:pPr>
        <w:pStyle w:val="List-TOC"/>
        <w:numPr>
          <w:ilvl w:val="1"/>
          <w:numId w:val="44"/>
        </w:numPr>
        <w:shd w:val="clear" w:color="auto" w:fill="F8E4DB" w:themeFill="accent5" w:themeFillTint="33"/>
      </w:pPr>
      <w:r w:rsidRPr="0014566F">
        <w:t>Informed Choice</w:t>
      </w:r>
    </w:p>
    <w:p w14:paraId="6653667A" w14:textId="77777777" w:rsidR="0014566F" w:rsidRPr="0014566F" w:rsidRDefault="0014566F" w:rsidP="0014566F">
      <w:pPr>
        <w:pStyle w:val="List-TOC"/>
        <w:shd w:val="clear" w:color="auto" w:fill="F0F4FA" w:themeFill="accent4"/>
        <w:rPr>
          <w:b/>
          <w:bCs/>
        </w:rPr>
      </w:pPr>
      <w:r w:rsidRPr="0014566F">
        <w:rPr>
          <w:b/>
          <w:bCs/>
        </w:rPr>
        <w:t>Initial Contacts and Applications</w:t>
      </w:r>
    </w:p>
    <w:p w14:paraId="288F4DE8" w14:textId="77777777" w:rsidR="0014566F" w:rsidRPr="0014566F" w:rsidRDefault="0014566F" w:rsidP="0014566F">
      <w:pPr>
        <w:pStyle w:val="List-TOC"/>
        <w:shd w:val="clear" w:color="auto" w:fill="F0F4FA" w:themeFill="accent4"/>
        <w:rPr>
          <w:b/>
          <w:bCs/>
        </w:rPr>
      </w:pPr>
      <w:r w:rsidRPr="0014566F">
        <w:rPr>
          <w:b/>
          <w:bCs/>
        </w:rPr>
        <w:lastRenderedPageBreak/>
        <w:t>Eligibility Determination</w:t>
      </w:r>
    </w:p>
    <w:p w14:paraId="1CAC933A" w14:textId="77777777" w:rsidR="0014566F" w:rsidRPr="0014566F" w:rsidRDefault="0014566F" w:rsidP="0014566F">
      <w:pPr>
        <w:pStyle w:val="List-TOC"/>
        <w:shd w:val="clear" w:color="auto" w:fill="F0F4FA" w:themeFill="accent4"/>
        <w:rPr>
          <w:b/>
          <w:bCs/>
        </w:rPr>
      </w:pPr>
      <w:r w:rsidRPr="0014566F">
        <w:rPr>
          <w:b/>
          <w:bCs/>
        </w:rPr>
        <w:t xml:space="preserve">Order of Selection (OOS) </w:t>
      </w:r>
    </w:p>
    <w:p w14:paraId="2398D8A9" w14:textId="77777777" w:rsidR="0014566F" w:rsidRPr="0014566F" w:rsidRDefault="0014566F" w:rsidP="0014566F">
      <w:pPr>
        <w:pStyle w:val="List-TOC"/>
        <w:shd w:val="clear" w:color="auto" w:fill="F0F4FA" w:themeFill="accent4"/>
        <w:rPr>
          <w:b/>
          <w:bCs/>
        </w:rPr>
      </w:pPr>
      <w:r w:rsidRPr="0014566F">
        <w:rPr>
          <w:b/>
          <w:bCs/>
        </w:rPr>
        <w:t>Trial Work Experience (TWE)</w:t>
      </w:r>
    </w:p>
    <w:p w14:paraId="39BC94E6" w14:textId="77777777" w:rsidR="0014566F" w:rsidRPr="0014566F" w:rsidRDefault="0014566F" w:rsidP="0014566F">
      <w:pPr>
        <w:pStyle w:val="List-TOC"/>
        <w:shd w:val="clear" w:color="auto" w:fill="F0F4FA" w:themeFill="accent4"/>
        <w:rPr>
          <w:b/>
          <w:bCs/>
        </w:rPr>
      </w:pPr>
      <w:r w:rsidRPr="0014566F">
        <w:rPr>
          <w:b/>
          <w:bCs/>
        </w:rPr>
        <w:t xml:space="preserve">Comprehensive Assessment </w:t>
      </w:r>
    </w:p>
    <w:p w14:paraId="12A91CAA" w14:textId="77777777" w:rsidR="0014566F" w:rsidRPr="0014566F" w:rsidRDefault="0014566F" w:rsidP="0014566F">
      <w:pPr>
        <w:pStyle w:val="List-TOC"/>
        <w:shd w:val="clear" w:color="auto" w:fill="F0F4FA" w:themeFill="accent4"/>
        <w:rPr>
          <w:b/>
          <w:bCs/>
        </w:rPr>
      </w:pPr>
      <w:r w:rsidRPr="0014566F">
        <w:rPr>
          <w:b/>
          <w:bCs/>
        </w:rPr>
        <w:t>Individualized Plan for Employment (IPE)</w:t>
      </w:r>
    </w:p>
    <w:p w14:paraId="7CBD68D1" w14:textId="77777777" w:rsidR="0014566F" w:rsidRPr="0014566F" w:rsidRDefault="0014566F" w:rsidP="0014566F">
      <w:pPr>
        <w:pStyle w:val="List-TOC"/>
        <w:shd w:val="clear" w:color="auto" w:fill="F0F4FA" w:themeFill="accent4"/>
        <w:rPr>
          <w:b/>
          <w:bCs/>
        </w:rPr>
      </w:pPr>
      <w:r w:rsidRPr="0014566F">
        <w:rPr>
          <w:b/>
          <w:bCs/>
        </w:rPr>
        <w:t>Computerized Criminal History (CCH)</w:t>
      </w:r>
    </w:p>
    <w:p w14:paraId="052CA2EF" w14:textId="36C8F3D9" w:rsidR="00647815" w:rsidRDefault="0014566F" w:rsidP="0014566F">
      <w:pPr>
        <w:pStyle w:val="List-TOC"/>
        <w:shd w:val="clear" w:color="auto" w:fill="F0F4FA" w:themeFill="accent4"/>
        <w:rPr>
          <w:b/>
          <w:bCs/>
        </w:rPr>
      </w:pPr>
      <w:r w:rsidRPr="0014566F">
        <w:rPr>
          <w:b/>
          <w:bCs/>
        </w:rPr>
        <w:t xml:space="preserve">VR Case Closure </w:t>
      </w:r>
    </w:p>
    <w:p w14:paraId="612CA78F" w14:textId="77777777" w:rsidR="0014566F" w:rsidRPr="0014566F" w:rsidRDefault="0014566F" w:rsidP="0014566F"/>
    <w:tbl>
      <w:tblPr>
        <w:tblStyle w:val="TableGrid"/>
        <w:tblW w:w="0" w:type="auto"/>
        <w:tblInd w:w="-5" w:type="dxa"/>
        <w:tblLook w:val="04A0" w:firstRow="1" w:lastRow="0" w:firstColumn="1" w:lastColumn="0" w:noHBand="0" w:noVBand="1"/>
      </w:tblPr>
      <w:tblGrid>
        <w:gridCol w:w="1560"/>
        <w:gridCol w:w="1905"/>
        <w:gridCol w:w="5890"/>
      </w:tblGrid>
      <w:tr w:rsidR="00DF2613" w:rsidRPr="00E25821" w14:paraId="012E1324" w14:textId="77777777" w:rsidTr="009F7EBF">
        <w:trPr>
          <w:tblHeader/>
        </w:trPr>
        <w:tc>
          <w:tcPr>
            <w:tcW w:w="1560" w:type="dxa"/>
            <w:shd w:val="clear" w:color="auto" w:fill="F0F4FA" w:themeFill="accent4"/>
          </w:tcPr>
          <w:p w14:paraId="612EB67F" w14:textId="77777777" w:rsidR="00DF2613" w:rsidRPr="00E25821" w:rsidRDefault="00DF2613" w:rsidP="007D7CEB">
            <w:pPr>
              <w:pStyle w:val="THead"/>
              <w:spacing w:before="100" w:beforeAutospacing="1"/>
            </w:pPr>
            <w:bookmarkStart w:id="0" w:name="_Hlk174301498"/>
            <w:r w:rsidRPr="00E25821">
              <w:t>Date</w:t>
            </w:r>
          </w:p>
        </w:tc>
        <w:tc>
          <w:tcPr>
            <w:tcW w:w="1905" w:type="dxa"/>
            <w:shd w:val="clear" w:color="auto" w:fill="F0F4FA" w:themeFill="accent4"/>
          </w:tcPr>
          <w:p w14:paraId="581C0D03" w14:textId="77777777" w:rsidR="00DF2613" w:rsidRPr="00E25821" w:rsidRDefault="00DF2613" w:rsidP="007D7CEB">
            <w:pPr>
              <w:pStyle w:val="THead"/>
              <w:spacing w:before="100" w:beforeAutospacing="1"/>
            </w:pPr>
            <w:r w:rsidRPr="00E25821">
              <w:t>Type</w:t>
            </w:r>
          </w:p>
        </w:tc>
        <w:tc>
          <w:tcPr>
            <w:tcW w:w="5890" w:type="dxa"/>
            <w:shd w:val="clear" w:color="auto" w:fill="F0F4FA" w:themeFill="accent4"/>
          </w:tcPr>
          <w:p w14:paraId="472C14FD" w14:textId="77777777" w:rsidR="00DF2613" w:rsidRPr="00E25821" w:rsidRDefault="00DF2613" w:rsidP="007D7CEB">
            <w:pPr>
              <w:pStyle w:val="THead"/>
              <w:spacing w:before="100" w:beforeAutospacing="1"/>
            </w:pPr>
            <w:r w:rsidRPr="00E25821">
              <w:t>Change Description</w:t>
            </w:r>
          </w:p>
        </w:tc>
      </w:tr>
      <w:tr w:rsidR="00DF2613" w14:paraId="653E8EBF" w14:textId="77777777" w:rsidTr="009F7EBF">
        <w:tc>
          <w:tcPr>
            <w:tcW w:w="1560" w:type="dxa"/>
          </w:tcPr>
          <w:p w14:paraId="5FA10EC3" w14:textId="77777777" w:rsidR="00DF2613" w:rsidRDefault="00DF2613" w:rsidP="007D7CEB">
            <w:pPr>
              <w:pStyle w:val="ListParagraph"/>
              <w:numPr>
                <w:ilvl w:val="0"/>
                <w:numId w:val="0"/>
              </w:numPr>
              <w:spacing w:before="100" w:beforeAutospacing="1"/>
            </w:pPr>
            <w:r>
              <w:t>9/3/2024</w:t>
            </w:r>
          </w:p>
        </w:tc>
        <w:tc>
          <w:tcPr>
            <w:tcW w:w="1905" w:type="dxa"/>
          </w:tcPr>
          <w:p w14:paraId="40C04202" w14:textId="77777777" w:rsidR="00DF2613" w:rsidRDefault="00DF2613" w:rsidP="007D7CEB">
            <w:pPr>
              <w:pStyle w:val="ListParagraph"/>
              <w:numPr>
                <w:ilvl w:val="0"/>
                <w:numId w:val="0"/>
              </w:numPr>
              <w:spacing w:before="100" w:beforeAutospacing="1"/>
            </w:pPr>
            <w:r>
              <w:t>New</w:t>
            </w:r>
          </w:p>
        </w:tc>
        <w:tc>
          <w:tcPr>
            <w:tcW w:w="5890" w:type="dxa"/>
          </w:tcPr>
          <w:p w14:paraId="2AB10CA3" w14:textId="77777777" w:rsidR="00DF2613" w:rsidRDefault="00DF2613" w:rsidP="007D7CEB">
            <w:pPr>
              <w:pStyle w:val="ListParagraph"/>
              <w:numPr>
                <w:ilvl w:val="0"/>
                <w:numId w:val="0"/>
              </w:numPr>
              <w:spacing w:before="100" w:beforeAutospacing="1"/>
            </w:pPr>
            <w:r>
              <w:t>VRSM Policy and Procedure Rewrite</w:t>
            </w:r>
          </w:p>
        </w:tc>
      </w:tr>
      <w:bookmarkEnd w:id="0"/>
    </w:tbl>
    <w:p w14:paraId="7DC09C07" w14:textId="77777777" w:rsidR="00DF2613" w:rsidRPr="00E57035" w:rsidRDefault="00DF2613" w:rsidP="00895186">
      <w:pPr>
        <w:rPr>
          <w:color w:val="C00000"/>
        </w:rPr>
      </w:pPr>
    </w:p>
    <w:sectPr w:rsidR="00DF2613" w:rsidRPr="00E57035" w:rsidSect="00F82376">
      <w:headerReference w:type="default" r:id="rId9"/>
      <w:footerReference w:type="default" r:id="rId10"/>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C55C8" w14:textId="77777777" w:rsidR="00873F72" w:rsidRDefault="00873F72" w:rsidP="00895186">
      <w:r>
        <w:separator/>
      </w:r>
    </w:p>
  </w:endnote>
  <w:endnote w:type="continuationSeparator" w:id="0">
    <w:p w14:paraId="65960C6E" w14:textId="77777777" w:rsidR="00873F72" w:rsidRDefault="00873F72"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CF58B" w14:textId="16118B83" w:rsidR="00B24E6C" w:rsidRDefault="00E61C41" w:rsidP="00895186">
    <w:pPr>
      <w:pStyle w:val="Footer"/>
    </w:pPr>
    <w:r>
      <w:rPr>
        <w:noProof/>
      </w:rPr>
      <mc:AlternateContent>
        <mc:Choice Requires="wps">
          <w:drawing>
            <wp:anchor distT="0" distB="0" distL="114300" distR="114300" simplePos="0" relativeHeight="251661312" behindDoc="0" locked="0" layoutInCell="1" allowOverlap="1" wp14:anchorId="00B0B3F3" wp14:editId="1EBE3B9C">
              <wp:simplePos x="0" y="0"/>
              <wp:positionH relativeFrom="column">
                <wp:posOffset>-375920</wp:posOffset>
              </wp:positionH>
              <wp:positionV relativeFrom="paragraph">
                <wp:posOffset>2540</wp:posOffset>
              </wp:positionV>
              <wp:extent cx="388175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881755" cy="488950"/>
                      </a:xfrm>
                      <a:prstGeom prst="rect">
                        <a:avLst/>
                      </a:prstGeom>
                      <a:noFill/>
                      <a:ln w="6350">
                        <a:noFill/>
                      </a:ln>
                    </wps:spPr>
                    <wps:txbx>
                      <w:txbxContent>
                        <w:p w14:paraId="25686EF3" w14:textId="640B1EF6" w:rsidR="00501E08" w:rsidRPr="00501E08" w:rsidRDefault="00D13D5E" w:rsidP="00895186">
                          <w:r>
                            <w:t xml:space="preserve">Part </w:t>
                          </w:r>
                          <w:r w:rsidR="0014566F">
                            <w:t>B</w:t>
                          </w:r>
                          <w:r>
                            <w:t xml:space="preserve">, Chapter 1: </w:t>
                          </w:r>
                          <w:r w:rsidR="00F96634">
                            <w:t>VR Process</w:t>
                          </w:r>
                          <w:r w:rsidR="00E61C41">
                            <w:t xml:space="preserve"> 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6pt;margin-top:.2pt;width:305.6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" filled="f" stroked="f" strokeweight=".5pt">
              <v:textbox>
                <w:txbxContent>
                  <w:p w14:paraId="25686EF3" w14:textId="640B1EF6" w:rsidR="00501E08" w:rsidRPr="00501E08" w:rsidRDefault="00D13D5E" w:rsidP="00895186">
                    <w:r>
                      <w:t xml:space="preserve">Part </w:t>
                    </w:r>
                    <w:r w:rsidR="0014566F">
                      <w:t>B</w:t>
                    </w:r>
                    <w:r>
                      <w:t xml:space="preserve">, Chapter 1: </w:t>
                    </w:r>
                    <w:r w:rsidR="00F96634">
                      <w:t>VR Process</w:t>
                    </w:r>
                    <w:r w:rsidR="00E61C41">
                      <w:t xml:space="preserve"> Introduction</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2F4D9DC1">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0D294" w14:textId="77777777" w:rsidR="00873F72" w:rsidRDefault="00873F72" w:rsidP="00895186">
      <w:r>
        <w:separator/>
      </w:r>
    </w:p>
  </w:footnote>
  <w:footnote w:type="continuationSeparator" w:id="0">
    <w:p w14:paraId="1BA9484D" w14:textId="77777777" w:rsidR="00873F72" w:rsidRDefault="00873F72"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416EA110"/>
    <w:lvl w:ilvl="0">
      <w:start w:val="1"/>
      <w:numFmt w:val="decimal"/>
      <w:pStyle w:val="ListParagraph"/>
      <w:lvlText w:val="%1."/>
      <w:lvlJc w:val="right"/>
      <w:pPr>
        <w:ind w:left="720" w:hanging="360"/>
      </w:pPr>
      <w:rPr>
        <w:rFonts w:hint="default"/>
      </w:rPr>
    </w:lvl>
    <w:lvl w:ilvl="1">
      <w:start w:val="1"/>
      <w:numFmt w:val="lowerLetter"/>
      <w:isLgl/>
      <w:lvlText w:val="%1.%2."/>
      <w:lvlJc w:val="left"/>
      <w:pPr>
        <w:ind w:left="1440" w:hanging="360"/>
      </w:pPr>
      <w:rPr>
        <w:rFonts w:hint="default"/>
      </w:rPr>
    </w:lvl>
    <w:lvl w:ilvl="2">
      <w:start w:val="1"/>
      <w:numFmt w:val="decimal"/>
      <w:lvlText w:val="%1.%3.%2"/>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1B0B2863"/>
    <w:multiLevelType w:val="multilevel"/>
    <w:tmpl w:val="8C04117E"/>
    <w:lvl w:ilvl="0">
      <w:start w:val="1"/>
      <w:numFmt w:val="decimal"/>
      <w:pStyle w:val="List-TOC"/>
      <w:lvlText w:val="%1."/>
      <w:lvlJc w:val="right"/>
      <w:pPr>
        <w:ind w:left="504" w:hanging="216"/>
      </w:pPr>
      <w:rPr>
        <w:rFonts w:hint="default"/>
      </w:rPr>
    </w:lvl>
    <w:lvl w:ilvl="1">
      <w:start w:val="1"/>
      <w:numFmt w:val="decimal"/>
      <w:lvlText w:val="%1.%2."/>
      <w:lvlJc w:val="right"/>
      <w:pPr>
        <w:ind w:left="1008" w:hanging="144"/>
      </w:pPr>
      <w:rPr>
        <w:rFonts w:hint="default"/>
      </w:rPr>
    </w:lvl>
    <w:lvl w:ilvl="2">
      <w:start w:val="1"/>
      <w:numFmt w:val="lowerLetter"/>
      <w:lvlText w:val="%1.%2.%3."/>
      <w:lvlJc w:val="right"/>
      <w:pPr>
        <w:ind w:left="2016" w:hanging="21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B3589F"/>
    <w:multiLevelType w:val="hybridMultilevel"/>
    <w:tmpl w:val="472A6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3" w15:restartNumberingAfterBreak="0">
    <w:nsid w:val="249E6CF0"/>
    <w:multiLevelType w:val="multilevel"/>
    <w:tmpl w:val="E634E890"/>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decimal"/>
      <w:lvlText w:val="%3.1.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6"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7"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7457C8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37" w15:restartNumberingAfterBreak="0">
    <w:nsid w:val="7B07144A"/>
    <w:multiLevelType w:val="multilevel"/>
    <w:tmpl w:val="1A1E42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06289932">
    <w:abstractNumId w:val="22"/>
  </w:num>
  <w:num w:numId="2" w16cid:durableId="620455520">
    <w:abstractNumId w:val="0"/>
  </w:num>
  <w:num w:numId="3" w16cid:durableId="943148761">
    <w:abstractNumId w:val="18"/>
  </w:num>
  <w:num w:numId="4" w16cid:durableId="109056539">
    <w:abstractNumId w:val="31"/>
  </w:num>
  <w:num w:numId="5" w16cid:durableId="1893686843">
    <w:abstractNumId w:val="23"/>
  </w:num>
  <w:num w:numId="6" w16cid:durableId="760954600">
    <w:abstractNumId w:val="26"/>
  </w:num>
  <w:num w:numId="7" w16cid:durableId="1429428784">
    <w:abstractNumId w:val="15"/>
  </w:num>
  <w:num w:numId="8" w16cid:durableId="436485834">
    <w:abstractNumId w:val="9"/>
  </w:num>
  <w:num w:numId="9" w16cid:durableId="127362230">
    <w:abstractNumId w:val="4"/>
  </w:num>
  <w:num w:numId="10" w16cid:durableId="1604805518">
    <w:abstractNumId w:val="7"/>
  </w:num>
  <w:num w:numId="11" w16cid:durableId="1256401764">
    <w:abstractNumId w:val="27"/>
  </w:num>
  <w:num w:numId="12" w16cid:durableId="1548175440">
    <w:abstractNumId w:val="33"/>
  </w:num>
  <w:num w:numId="13" w16cid:durableId="975644156">
    <w:abstractNumId w:val="8"/>
  </w:num>
  <w:num w:numId="14" w16cid:durableId="2099713293">
    <w:abstractNumId w:val="20"/>
  </w:num>
  <w:num w:numId="15" w16cid:durableId="1594316770">
    <w:abstractNumId w:val="24"/>
  </w:num>
  <w:num w:numId="16" w16cid:durableId="700741873">
    <w:abstractNumId w:val="29"/>
  </w:num>
  <w:num w:numId="17" w16cid:durableId="1651835230">
    <w:abstractNumId w:val="19"/>
  </w:num>
  <w:num w:numId="18" w16cid:durableId="883299119">
    <w:abstractNumId w:val="30"/>
  </w:num>
  <w:num w:numId="19" w16cid:durableId="84305632">
    <w:abstractNumId w:val="14"/>
  </w:num>
  <w:num w:numId="20" w16cid:durableId="1057705478">
    <w:abstractNumId w:val="35"/>
  </w:num>
  <w:num w:numId="21" w16cid:durableId="96758055">
    <w:abstractNumId w:val="25"/>
  </w:num>
  <w:num w:numId="22" w16cid:durableId="722797963">
    <w:abstractNumId w:val="10"/>
  </w:num>
  <w:num w:numId="23" w16cid:durableId="1638485069">
    <w:abstractNumId w:val="17"/>
  </w:num>
  <w:num w:numId="24" w16cid:durableId="1439984590">
    <w:abstractNumId w:val="35"/>
    <w:lvlOverride w:ilvl="0">
      <w:startOverride w:val="1"/>
    </w:lvlOverride>
  </w:num>
  <w:num w:numId="25" w16cid:durableId="460730897">
    <w:abstractNumId w:val="11"/>
  </w:num>
  <w:num w:numId="26" w16cid:durableId="1377244451">
    <w:abstractNumId w:val="1"/>
  </w:num>
  <w:num w:numId="27" w16cid:durableId="30420175">
    <w:abstractNumId w:val="16"/>
  </w:num>
  <w:num w:numId="28" w16cid:durableId="763261832">
    <w:abstractNumId w:val="2"/>
  </w:num>
  <w:num w:numId="29" w16cid:durableId="1268929695">
    <w:abstractNumId w:val="16"/>
    <w:lvlOverride w:ilvl="0">
      <w:startOverride w:val="1"/>
    </w:lvlOverride>
  </w:num>
  <w:num w:numId="30" w16cid:durableId="1510757688">
    <w:abstractNumId w:val="16"/>
  </w:num>
  <w:num w:numId="31" w16cid:durableId="1760524021">
    <w:abstractNumId w:val="36"/>
  </w:num>
  <w:num w:numId="32" w16cid:durableId="191573243">
    <w:abstractNumId w:val="28"/>
  </w:num>
  <w:num w:numId="33" w16cid:durableId="718751240">
    <w:abstractNumId w:val="3"/>
  </w:num>
  <w:num w:numId="34" w16cid:durableId="1367289556">
    <w:abstractNumId w:val="21"/>
  </w:num>
  <w:num w:numId="35" w16cid:durableId="1934777624">
    <w:abstractNumId w:val="12"/>
  </w:num>
  <w:num w:numId="36" w16cid:durableId="1647272484">
    <w:abstractNumId w:val="34"/>
  </w:num>
  <w:num w:numId="37" w16cid:durableId="1327826153">
    <w:abstractNumId w:val="16"/>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17301458">
    <w:abstractNumId w:val="13"/>
  </w:num>
  <w:num w:numId="40" w16cid:durableId="1254046837">
    <w:abstractNumId w:val="6"/>
  </w:num>
  <w:num w:numId="41" w16cid:durableId="1906799384">
    <w:abstractNumId w:val="3"/>
  </w:num>
  <w:num w:numId="42" w16cid:durableId="614159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22774137">
    <w:abstractNumId w:val="32"/>
  </w:num>
  <w:num w:numId="44" w16cid:durableId="939988793">
    <w:abstractNumId w:val="5"/>
  </w:num>
  <w:num w:numId="45" w16cid:durableId="712267852">
    <w:abstractNumId w:val="3"/>
  </w:num>
  <w:num w:numId="46" w16cid:durableId="1674332465">
    <w:abstractNumId w:val="3"/>
  </w:num>
  <w:num w:numId="47" w16cid:durableId="282005606">
    <w:abstractNumId w:val="5"/>
  </w:num>
  <w:num w:numId="48" w16cid:durableId="143667613">
    <w:abstractNumId w:val="5"/>
  </w:num>
  <w:num w:numId="49" w16cid:durableId="183787776">
    <w:abstractNumId w:val="5"/>
  </w:num>
  <w:num w:numId="50" w16cid:durableId="16924122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06857979">
    <w:abstractNumId w:val="5"/>
  </w:num>
  <w:num w:numId="52" w16cid:durableId="328027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36465"/>
    <w:rsid w:val="000509C5"/>
    <w:rsid w:val="00052545"/>
    <w:rsid w:val="000538A8"/>
    <w:rsid w:val="0005762A"/>
    <w:rsid w:val="00094031"/>
    <w:rsid w:val="000A1F40"/>
    <w:rsid w:val="000B1231"/>
    <w:rsid w:val="000B3B97"/>
    <w:rsid w:val="000B6B09"/>
    <w:rsid w:val="000E34FB"/>
    <w:rsid w:val="00103782"/>
    <w:rsid w:val="00133CB2"/>
    <w:rsid w:val="001427D6"/>
    <w:rsid w:val="00145474"/>
    <w:rsid w:val="0014566F"/>
    <w:rsid w:val="00145D80"/>
    <w:rsid w:val="0015717B"/>
    <w:rsid w:val="00157B45"/>
    <w:rsid w:val="001676D0"/>
    <w:rsid w:val="00170306"/>
    <w:rsid w:val="0017262C"/>
    <w:rsid w:val="00173344"/>
    <w:rsid w:val="00177C2C"/>
    <w:rsid w:val="001841B3"/>
    <w:rsid w:val="00184EE4"/>
    <w:rsid w:val="001901F0"/>
    <w:rsid w:val="00192729"/>
    <w:rsid w:val="001A1450"/>
    <w:rsid w:val="001A2B37"/>
    <w:rsid w:val="001A54B6"/>
    <w:rsid w:val="001B12FE"/>
    <w:rsid w:val="001B3B8F"/>
    <w:rsid w:val="001C20F2"/>
    <w:rsid w:val="001D7D23"/>
    <w:rsid w:val="001E75B8"/>
    <w:rsid w:val="001F176D"/>
    <w:rsid w:val="00200EB7"/>
    <w:rsid w:val="00202D74"/>
    <w:rsid w:val="00204AEA"/>
    <w:rsid w:val="00204C80"/>
    <w:rsid w:val="002213D7"/>
    <w:rsid w:val="002234C6"/>
    <w:rsid w:val="00224B5C"/>
    <w:rsid w:val="0022624A"/>
    <w:rsid w:val="0022773A"/>
    <w:rsid w:val="002373C8"/>
    <w:rsid w:val="00237F40"/>
    <w:rsid w:val="00251BEF"/>
    <w:rsid w:val="002534D9"/>
    <w:rsid w:val="00253721"/>
    <w:rsid w:val="00270679"/>
    <w:rsid w:val="002842D7"/>
    <w:rsid w:val="0028600F"/>
    <w:rsid w:val="00291D54"/>
    <w:rsid w:val="002A345C"/>
    <w:rsid w:val="002B3B60"/>
    <w:rsid w:val="002C0046"/>
    <w:rsid w:val="002E0AF2"/>
    <w:rsid w:val="002F3A16"/>
    <w:rsid w:val="002F7604"/>
    <w:rsid w:val="00303143"/>
    <w:rsid w:val="003155F3"/>
    <w:rsid w:val="00330015"/>
    <w:rsid w:val="0033181C"/>
    <w:rsid w:val="00340B05"/>
    <w:rsid w:val="003435FF"/>
    <w:rsid w:val="003500F1"/>
    <w:rsid w:val="00374BD1"/>
    <w:rsid w:val="00380C78"/>
    <w:rsid w:val="00381C86"/>
    <w:rsid w:val="00387B68"/>
    <w:rsid w:val="003A35A6"/>
    <w:rsid w:val="003B11A4"/>
    <w:rsid w:val="003B372E"/>
    <w:rsid w:val="003D0BC8"/>
    <w:rsid w:val="003D35E9"/>
    <w:rsid w:val="003E1761"/>
    <w:rsid w:val="004029A6"/>
    <w:rsid w:val="00414B84"/>
    <w:rsid w:val="00417839"/>
    <w:rsid w:val="00420B1A"/>
    <w:rsid w:val="00422F66"/>
    <w:rsid w:val="00437552"/>
    <w:rsid w:val="0044342D"/>
    <w:rsid w:val="00472E58"/>
    <w:rsid w:val="00473095"/>
    <w:rsid w:val="00480F0E"/>
    <w:rsid w:val="0049537E"/>
    <w:rsid w:val="00497815"/>
    <w:rsid w:val="004C5E23"/>
    <w:rsid w:val="004E6008"/>
    <w:rsid w:val="00501E08"/>
    <w:rsid w:val="00507EDE"/>
    <w:rsid w:val="00512F6B"/>
    <w:rsid w:val="005349DD"/>
    <w:rsid w:val="00535EF8"/>
    <w:rsid w:val="0054239B"/>
    <w:rsid w:val="00546EC7"/>
    <w:rsid w:val="00555595"/>
    <w:rsid w:val="005735AB"/>
    <w:rsid w:val="0057562C"/>
    <w:rsid w:val="00580991"/>
    <w:rsid w:val="005820F2"/>
    <w:rsid w:val="00590E50"/>
    <w:rsid w:val="005A5B07"/>
    <w:rsid w:val="005B1174"/>
    <w:rsid w:val="005D431C"/>
    <w:rsid w:val="005D7D5C"/>
    <w:rsid w:val="005E363C"/>
    <w:rsid w:val="005F0E52"/>
    <w:rsid w:val="00602597"/>
    <w:rsid w:val="00647815"/>
    <w:rsid w:val="00663892"/>
    <w:rsid w:val="0066789B"/>
    <w:rsid w:val="006822AE"/>
    <w:rsid w:val="00684E9F"/>
    <w:rsid w:val="006D108A"/>
    <w:rsid w:val="006D1897"/>
    <w:rsid w:val="006D7231"/>
    <w:rsid w:val="006F605F"/>
    <w:rsid w:val="00700604"/>
    <w:rsid w:val="00701EDA"/>
    <w:rsid w:val="00707791"/>
    <w:rsid w:val="007253AC"/>
    <w:rsid w:val="00727DDE"/>
    <w:rsid w:val="00732372"/>
    <w:rsid w:val="00737F40"/>
    <w:rsid w:val="007400FF"/>
    <w:rsid w:val="0075656E"/>
    <w:rsid w:val="00781378"/>
    <w:rsid w:val="00785189"/>
    <w:rsid w:val="007C2A47"/>
    <w:rsid w:val="007D6F90"/>
    <w:rsid w:val="007D7CEB"/>
    <w:rsid w:val="007F11FA"/>
    <w:rsid w:val="007F608C"/>
    <w:rsid w:val="008021D5"/>
    <w:rsid w:val="008101E7"/>
    <w:rsid w:val="00817FD0"/>
    <w:rsid w:val="00823238"/>
    <w:rsid w:val="008305E7"/>
    <w:rsid w:val="00831F7C"/>
    <w:rsid w:val="00837800"/>
    <w:rsid w:val="008445D4"/>
    <w:rsid w:val="00851005"/>
    <w:rsid w:val="00866C94"/>
    <w:rsid w:val="0087043F"/>
    <w:rsid w:val="00873F72"/>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C13A1"/>
    <w:rsid w:val="009F4153"/>
    <w:rsid w:val="00A001F3"/>
    <w:rsid w:val="00A276C5"/>
    <w:rsid w:val="00A4148F"/>
    <w:rsid w:val="00A53108"/>
    <w:rsid w:val="00A70A13"/>
    <w:rsid w:val="00A70A57"/>
    <w:rsid w:val="00A81DE6"/>
    <w:rsid w:val="00AA1208"/>
    <w:rsid w:val="00AA1D64"/>
    <w:rsid w:val="00AB7064"/>
    <w:rsid w:val="00AC163B"/>
    <w:rsid w:val="00AC49D4"/>
    <w:rsid w:val="00AD3BBC"/>
    <w:rsid w:val="00AD4C2A"/>
    <w:rsid w:val="00AD6C5A"/>
    <w:rsid w:val="00AE3E47"/>
    <w:rsid w:val="00AE45F0"/>
    <w:rsid w:val="00AF0449"/>
    <w:rsid w:val="00AF2E87"/>
    <w:rsid w:val="00B01FA6"/>
    <w:rsid w:val="00B23B90"/>
    <w:rsid w:val="00B24E6C"/>
    <w:rsid w:val="00B4029A"/>
    <w:rsid w:val="00B42954"/>
    <w:rsid w:val="00B51052"/>
    <w:rsid w:val="00B51A31"/>
    <w:rsid w:val="00B53ADD"/>
    <w:rsid w:val="00B63DC8"/>
    <w:rsid w:val="00B83A23"/>
    <w:rsid w:val="00BA2C02"/>
    <w:rsid w:val="00BB1B54"/>
    <w:rsid w:val="00BD18CB"/>
    <w:rsid w:val="00BD4453"/>
    <w:rsid w:val="00C03C84"/>
    <w:rsid w:val="00C179E1"/>
    <w:rsid w:val="00C352AB"/>
    <w:rsid w:val="00C52486"/>
    <w:rsid w:val="00C57B6D"/>
    <w:rsid w:val="00C71AE5"/>
    <w:rsid w:val="00C759E8"/>
    <w:rsid w:val="00C828B1"/>
    <w:rsid w:val="00CA6FBB"/>
    <w:rsid w:val="00CB2389"/>
    <w:rsid w:val="00CB3FD2"/>
    <w:rsid w:val="00CB5436"/>
    <w:rsid w:val="00CD68B6"/>
    <w:rsid w:val="00CF06B7"/>
    <w:rsid w:val="00CF51B9"/>
    <w:rsid w:val="00D064C9"/>
    <w:rsid w:val="00D12C14"/>
    <w:rsid w:val="00D13D5E"/>
    <w:rsid w:val="00D164C7"/>
    <w:rsid w:val="00D22E37"/>
    <w:rsid w:val="00D2701D"/>
    <w:rsid w:val="00D3285D"/>
    <w:rsid w:val="00D427F1"/>
    <w:rsid w:val="00D42CF6"/>
    <w:rsid w:val="00D451D6"/>
    <w:rsid w:val="00D5593A"/>
    <w:rsid w:val="00D62553"/>
    <w:rsid w:val="00D642BC"/>
    <w:rsid w:val="00D6606B"/>
    <w:rsid w:val="00D77322"/>
    <w:rsid w:val="00DA5511"/>
    <w:rsid w:val="00DA5DB4"/>
    <w:rsid w:val="00DB5FC8"/>
    <w:rsid w:val="00DC3298"/>
    <w:rsid w:val="00DC3C01"/>
    <w:rsid w:val="00DE1623"/>
    <w:rsid w:val="00DE30FB"/>
    <w:rsid w:val="00DF2613"/>
    <w:rsid w:val="00DF5CB7"/>
    <w:rsid w:val="00E00C55"/>
    <w:rsid w:val="00E03180"/>
    <w:rsid w:val="00E13DCC"/>
    <w:rsid w:val="00E16BE9"/>
    <w:rsid w:val="00E22B68"/>
    <w:rsid w:val="00E23F3D"/>
    <w:rsid w:val="00E4574C"/>
    <w:rsid w:val="00E57035"/>
    <w:rsid w:val="00E61C41"/>
    <w:rsid w:val="00E63ED5"/>
    <w:rsid w:val="00E73325"/>
    <w:rsid w:val="00E73894"/>
    <w:rsid w:val="00E759EC"/>
    <w:rsid w:val="00E7715D"/>
    <w:rsid w:val="00E81B1A"/>
    <w:rsid w:val="00E83ABD"/>
    <w:rsid w:val="00E95975"/>
    <w:rsid w:val="00EC45B1"/>
    <w:rsid w:val="00EC676A"/>
    <w:rsid w:val="00EF55C3"/>
    <w:rsid w:val="00F01C9E"/>
    <w:rsid w:val="00F0306B"/>
    <w:rsid w:val="00F04098"/>
    <w:rsid w:val="00F1048D"/>
    <w:rsid w:val="00F21255"/>
    <w:rsid w:val="00F43B91"/>
    <w:rsid w:val="00F45066"/>
    <w:rsid w:val="00F54EFD"/>
    <w:rsid w:val="00F5573C"/>
    <w:rsid w:val="00F615A4"/>
    <w:rsid w:val="00F63D84"/>
    <w:rsid w:val="00F7406E"/>
    <w:rsid w:val="00F82376"/>
    <w:rsid w:val="00F96634"/>
    <w:rsid w:val="00FA3AD4"/>
    <w:rsid w:val="00FB3EB4"/>
    <w:rsid w:val="00FB450E"/>
    <w:rsid w:val="00FD4946"/>
    <w:rsid w:val="00FE07BC"/>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E03180"/>
    <w:pPr>
      <w:numPr>
        <w:numId w:val="41"/>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E03180"/>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535EF8"/>
    <w:rPr>
      <w:color w:val="9F3223" w:themeColor="hyperlink"/>
      <w:u w:val="single"/>
    </w:rPr>
  </w:style>
  <w:style w:type="character" w:styleId="CommentReference">
    <w:name w:val="annotation reference"/>
    <w:basedOn w:val="DefaultParagraphFont"/>
    <w:uiPriority w:val="99"/>
    <w:semiHidden/>
    <w:unhideWhenUsed/>
    <w:rsid w:val="005D7D5C"/>
    <w:rPr>
      <w:sz w:val="16"/>
      <w:szCs w:val="16"/>
    </w:rPr>
  </w:style>
  <w:style w:type="paragraph" w:styleId="CommentText">
    <w:name w:val="annotation text"/>
    <w:basedOn w:val="Normal"/>
    <w:link w:val="CommentTextChar"/>
    <w:uiPriority w:val="99"/>
    <w:unhideWhenUsed/>
    <w:rsid w:val="005D7D5C"/>
    <w:pPr>
      <w:spacing w:line="240" w:lineRule="auto"/>
    </w:pPr>
    <w:rPr>
      <w:sz w:val="20"/>
      <w:szCs w:val="20"/>
    </w:rPr>
  </w:style>
  <w:style w:type="character" w:customStyle="1" w:styleId="CommentTextChar">
    <w:name w:val="Comment Text Char"/>
    <w:basedOn w:val="DefaultParagraphFont"/>
    <w:link w:val="CommentText"/>
    <w:uiPriority w:val="99"/>
    <w:rsid w:val="005D7D5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D7D5C"/>
    <w:rPr>
      <w:b/>
      <w:bCs/>
    </w:rPr>
  </w:style>
  <w:style w:type="character" w:customStyle="1" w:styleId="CommentSubjectChar">
    <w:name w:val="Comment Subject Char"/>
    <w:basedOn w:val="CommentTextChar"/>
    <w:link w:val="CommentSubject"/>
    <w:uiPriority w:val="99"/>
    <w:semiHidden/>
    <w:rsid w:val="005D7D5C"/>
    <w:rPr>
      <w:rFonts w:ascii="Arial" w:hAnsi="Arial" w:cs="Arial"/>
      <w:b/>
      <w:bCs/>
      <w:sz w:val="20"/>
      <w:szCs w:val="20"/>
    </w:rPr>
  </w:style>
  <w:style w:type="paragraph" w:customStyle="1" w:styleId="List-TOC">
    <w:name w:val="List - TOC"/>
    <w:basedOn w:val="ListParagraph"/>
    <w:link w:val="List-TOCChar"/>
    <w:qFormat/>
    <w:rsid w:val="007D7CEB"/>
    <w:pPr>
      <w:numPr>
        <w:numId w:val="44"/>
      </w:numPr>
    </w:pPr>
  </w:style>
  <w:style w:type="character" w:customStyle="1" w:styleId="List-TOCChar">
    <w:name w:val="List - TOC Char"/>
    <w:basedOn w:val="ListParagraphChar"/>
    <w:link w:val="List-TOC"/>
    <w:rsid w:val="007D7CE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188082">
      <w:bodyDiv w:val="1"/>
      <w:marLeft w:val="0"/>
      <w:marRight w:val="0"/>
      <w:marTop w:val="0"/>
      <w:marBottom w:val="0"/>
      <w:divBdr>
        <w:top w:val="none" w:sz="0" w:space="0" w:color="auto"/>
        <w:left w:val="none" w:sz="0" w:space="0" w:color="auto"/>
        <w:bottom w:val="none" w:sz="0" w:space="0" w:color="auto"/>
        <w:right w:val="none" w:sz="0" w:space="0" w:color="auto"/>
      </w:divBdr>
    </w:div>
    <w:div w:id="191168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sm.support@twc.texas.gov"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B4CFA56A-0112-4905-B130-D071820DFB86}">
  <ds:schemaRefs>
    <ds:schemaRef ds:uri="http://schemas.openxmlformats.org/officeDocument/2006/bibliography"/>
  </ds:schemaRefs>
</ds:datastoreItem>
</file>

<file path=customXml/itemProps2.xml><?xml version="1.0" encoding="utf-8"?>
<ds:datastoreItem xmlns:ds="http://schemas.openxmlformats.org/officeDocument/2006/customXml" ds:itemID="{ECACF8F1-E30D-48FE-8F91-0B461C1A1B69}"/>
</file>

<file path=customXml/itemProps3.xml><?xml version="1.0" encoding="utf-8"?>
<ds:datastoreItem xmlns:ds="http://schemas.openxmlformats.org/officeDocument/2006/customXml" ds:itemID="{44B537A2-2178-49B4-B093-102DDA8B9C48}"/>
</file>

<file path=customXml/itemProps4.xml><?xml version="1.0" encoding="utf-8"?>
<ds:datastoreItem xmlns:ds="http://schemas.openxmlformats.org/officeDocument/2006/customXml" ds:itemID="{9EDC1D1F-760C-4875-BA7A-141D3E24D9D9}"/>
</file>

<file path=docProps/app.xml><?xml version="1.0" encoding="utf-8"?>
<Properties xmlns="http://schemas.openxmlformats.org/officeDocument/2006/extended-properties" xmlns:vt="http://schemas.openxmlformats.org/officeDocument/2006/docPropsVTypes">
  <Template>Normal</Template>
  <TotalTime>330</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VRSM - Part A, Chapter 1 - Overview of VR</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B, Chapter 1 - Introduction</dc:title>
  <dc:subject/>
  <dc:creator>TWC-VR</dc:creator>
  <cp:keywords>Texas Workforce Commission Vocational Rehabilitation Services Manual (VRSM) policy</cp:keywords>
  <dc:description/>
  <cp:lastModifiedBy>Christa Strickland-Kucerak</cp:lastModifiedBy>
  <cp:revision>17</cp:revision>
  <dcterms:created xsi:type="dcterms:W3CDTF">2024-07-24T18:52:00Z</dcterms:created>
  <dcterms:modified xsi:type="dcterms:W3CDTF">2024-08-24T03:41:00Z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