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781C17F4" w:rsidR="002A345C" w:rsidRDefault="00A66766" w:rsidP="0036319F">
      <w:pPr>
        <w:pStyle w:val="Heading1"/>
      </w:pPr>
      <w:r w:rsidRPr="0036319F">
        <w:t xml:space="preserve">PART A, CHAPTER 9: </w:t>
      </w:r>
      <w:r>
        <w:t>SUBROGATION</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5046"/>
        <w:gridCol w:w="1627"/>
        <w:gridCol w:w="1217"/>
      </w:tblGrid>
      <w:tr w:rsidR="00A30FC6" w:rsidRPr="00A30FC6" w14:paraId="2E543A38" w14:textId="77777777" w:rsidTr="008228D9">
        <w:trPr>
          <w:trHeight w:val="312"/>
        </w:trPr>
        <w:tc>
          <w:tcPr>
            <w:tcW w:w="1662" w:type="dxa"/>
            <w:shd w:val="clear" w:color="000000" w:fill="F0F4FA"/>
            <w:noWrap/>
            <w:vAlign w:val="bottom"/>
            <w:hideMark/>
          </w:tcPr>
          <w:p w14:paraId="7A457055" w14:textId="77777777" w:rsidR="00A30FC6" w:rsidRPr="00A30FC6" w:rsidRDefault="00A30FC6" w:rsidP="00A30FC6">
            <w:pPr>
              <w:spacing w:before="0" w:after="0" w:line="240" w:lineRule="auto"/>
              <w:rPr>
                <w:rFonts w:eastAsia="Times New Roman"/>
                <w:b/>
                <w:bCs/>
                <w:color w:val="000000"/>
                <w:kern w:val="0"/>
                <w14:ligatures w14:val="none"/>
              </w:rPr>
            </w:pPr>
            <w:r w:rsidRPr="00A30FC6">
              <w:rPr>
                <w:rFonts w:eastAsia="Times New Roman"/>
                <w:b/>
                <w:bCs/>
                <w:color w:val="000000"/>
                <w:kern w:val="0"/>
                <w:lang w:val="en" w:eastAsia="ja-JP"/>
                <w14:ligatures w14:val="none"/>
              </w:rPr>
              <w:t>Policy Number</w:t>
            </w:r>
          </w:p>
        </w:tc>
        <w:tc>
          <w:tcPr>
            <w:tcW w:w="5046" w:type="dxa"/>
            <w:shd w:val="clear" w:color="000000" w:fill="F0F4FA"/>
            <w:noWrap/>
            <w:vAlign w:val="bottom"/>
            <w:hideMark/>
          </w:tcPr>
          <w:p w14:paraId="54F36570" w14:textId="77777777" w:rsidR="00A30FC6" w:rsidRPr="00A30FC6" w:rsidRDefault="00A30FC6" w:rsidP="00A30FC6">
            <w:pPr>
              <w:spacing w:before="0" w:after="0" w:line="240" w:lineRule="auto"/>
              <w:rPr>
                <w:rFonts w:eastAsia="Times New Roman"/>
                <w:b/>
                <w:bCs/>
                <w:color w:val="000000"/>
                <w:kern w:val="0"/>
                <w14:ligatures w14:val="none"/>
              </w:rPr>
            </w:pPr>
            <w:r w:rsidRPr="00A30FC6">
              <w:rPr>
                <w:rFonts w:eastAsia="Times New Roman"/>
                <w:b/>
                <w:bCs/>
                <w:color w:val="000000"/>
                <w:kern w:val="0"/>
                <w:lang w:val="en" w:eastAsia="ja-JP"/>
                <w14:ligatures w14:val="none"/>
              </w:rPr>
              <w:t>Authority</w:t>
            </w:r>
          </w:p>
        </w:tc>
        <w:tc>
          <w:tcPr>
            <w:tcW w:w="1627" w:type="dxa"/>
            <w:shd w:val="clear" w:color="000000" w:fill="F0F4FA"/>
            <w:noWrap/>
            <w:vAlign w:val="bottom"/>
            <w:hideMark/>
          </w:tcPr>
          <w:p w14:paraId="18875D92" w14:textId="77777777" w:rsidR="00A30FC6" w:rsidRPr="00A30FC6" w:rsidRDefault="00A30FC6" w:rsidP="00A30FC6">
            <w:pPr>
              <w:spacing w:before="0" w:after="0" w:line="240" w:lineRule="auto"/>
              <w:rPr>
                <w:rFonts w:eastAsia="Times New Roman"/>
                <w:b/>
                <w:bCs/>
                <w:color w:val="000000"/>
                <w:kern w:val="0"/>
                <w14:ligatures w14:val="none"/>
              </w:rPr>
            </w:pPr>
            <w:r w:rsidRPr="00A30FC6">
              <w:rPr>
                <w:rFonts w:eastAsia="Times New Roman"/>
                <w:b/>
                <w:bCs/>
                <w:color w:val="000000"/>
                <w:kern w:val="0"/>
                <w:lang w:val="en" w:eastAsia="ja-JP"/>
                <w14:ligatures w14:val="none"/>
              </w:rPr>
              <w:t xml:space="preserve">Scope </w:t>
            </w:r>
          </w:p>
        </w:tc>
        <w:tc>
          <w:tcPr>
            <w:tcW w:w="1217" w:type="dxa"/>
            <w:shd w:val="clear" w:color="000000" w:fill="F0F4FA"/>
            <w:noWrap/>
            <w:vAlign w:val="bottom"/>
            <w:hideMark/>
          </w:tcPr>
          <w:p w14:paraId="1C1D6263" w14:textId="77777777" w:rsidR="00A30FC6" w:rsidRPr="00A30FC6" w:rsidRDefault="00A30FC6" w:rsidP="00A30FC6">
            <w:pPr>
              <w:spacing w:before="0" w:after="0" w:line="240" w:lineRule="auto"/>
              <w:rPr>
                <w:rFonts w:eastAsia="Times New Roman"/>
                <w:b/>
                <w:bCs/>
                <w:color w:val="000000"/>
                <w:kern w:val="0"/>
                <w14:ligatures w14:val="none"/>
              </w:rPr>
            </w:pPr>
            <w:r w:rsidRPr="00A30FC6">
              <w:rPr>
                <w:rFonts w:eastAsia="Times New Roman"/>
                <w:b/>
                <w:bCs/>
                <w:color w:val="000000"/>
                <w:kern w:val="0"/>
                <w:lang w:val="en" w:eastAsia="ja-JP"/>
                <w14:ligatures w14:val="none"/>
              </w:rPr>
              <w:t>Effective Date</w:t>
            </w:r>
          </w:p>
        </w:tc>
      </w:tr>
      <w:tr w:rsidR="00E113B3" w:rsidRPr="00A30FC6" w14:paraId="3ACE7DF0" w14:textId="77777777" w:rsidTr="008228D9">
        <w:trPr>
          <w:trHeight w:val="300"/>
        </w:trPr>
        <w:tc>
          <w:tcPr>
            <w:tcW w:w="1662" w:type="dxa"/>
            <w:shd w:val="clear" w:color="auto" w:fill="auto"/>
            <w:noWrap/>
            <w:vAlign w:val="bottom"/>
            <w:hideMark/>
          </w:tcPr>
          <w:p w14:paraId="704A5068" w14:textId="77777777" w:rsidR="00E113B3" w:rsidRPr="00A30FC6" w:rsidRDefault="00E113B3" w:rsidP="00E113B3">
            <w:pPr>
              <w:spacing w:before="0" w:after="0" w:line="240" w:lineRule="auto"/>
              <w:rPr>
                <w:rFonts w:eastAsia="Times New Roman"/>
                <w:color w:val="000000"/>
                <w:kern w:val="0"/>
                <w14:ligatures w14:val="none"/>
              </w:rPr>
            </w:pPr>
            <w:r w:rsidRPr="00A30FC6">
              <w:rPr>
                <w:rFonts w:eastAsia="Times New Roman"/>
                <w:color w:val="000000"/>
                <w:kern w:val="0"/>
                <w:lang w:val="en" w:eastAsia="ja-JP"/>
                <w14:ligatures w14:val="none"/>
              </w:rPr>
              <w:t>Part A, Chapter 9</w:t>
            </w:r>
          </w:p>
        </w:tc>
        <w:tc>
          <w:tcPr>
            <w:tcW w:w="5046" w:type="dxa"/>
            <w:shd w:val="clear" w:color="auto" w:fill="auto"/>
            <w:noWrap/>
            <w:vAlign w:val="center"/>
            <w:hideMark/>
          </w:tcPr>
          <w:p w14:paraId="6DFB8C5B" w14:textId="18442E94" w:rsidR="00E113B3" w:rsidRPr="00A30FC6" w:rsidRDefault="00E113B3" w:rsidP="00E113B3">
            <w:pPr>
              <w:spacing w:before="0" w:after="0" w:line="240" w:lineRule="auto"/>
              <w:rPr>
                <w:rFonts w:eastAsia="Times New Roman"/>
                <w:color w:val="000000"/>
                <w:kern w:val="0"/>
                <w14:ligatures w14:val="none"/>
              </w:rPr>
            </w:pPr>
            <w:r w:rsidRPr="00A66766">
              <w:rPr>
                <w:bCs/>
              </w:rPr>
              <w:t xml:space="preserve">34 CFR </w:t>
            </w:r>
            <w:hyperlink r:id="rId10" w:anchor="p-361.53(a)" w:history="1">
              <w:r w:rsidRPr="00A66766">
                <w:rPr>
                  <w:rStyle w:val="Hyperlink"/>
                  <w:bCs/>
                </w:rPr>
                <w:t>§361.53(a)</w:t>
              </w:r>
            </w:hyperlink>
            <w:r w:rsidRPr="00A66766">
              <w:rPr>
                <w:bCs/>
              </w:rPr>
              <w:t>, and</w:t>
            </w:r>
            <w:r w:rsidRPr="00A66766">
              <w:t xml:space="preserve"> </w:t>
            </w:r>
            <w:r w:rsidRPr="00A66766">
              <w:rPr>
                <w:bCs/>
              </w:rPr>
              <w:t xml:space="preserve">Texas Labor Code </w:t>
            </w:r>
            <w:hyperlink r:id="rId11" w:history="1">
              <w:r w:rsidRPr="00A66766">
                <w:rPr>
                  <w:rStyle w:val="Hyperlink"/>
                  <w:bCs/>
                </w:rPr>
                <w:t>§352.058</w:t>
              </w:r>
            </w:hyperlink>
            <w:r w:rsidRPr="00A66766">
              <w:rPr>
                <w:bCs/>
              </w:rPr>
              <w:t xml:space="preserve"> </w:t>
            </w:r>
            <w:r w:rsidRPr="00A66766">
              <w:t xml:space="preserve"> </w:t>
            </w:r>
          </w:p>
        </w:tc>
        <w:tc>
          <w:tcPr>
            <w:tcW w:w="1627" w:type="dxa"/>
            <w:shd w:val="clear" w:color="auto" w:fill="auto"/>
            <w:noWrap/>
            <w:vAlign w:val="bottom"/>
            <w:hideMark/>
          </w:tcPr>
          <w:p w14:paraId="66447285" w14:textId="77777777" w:rsidR="00E113B3" w:rsidRPr="00A30FC6" w:rsidRDefault="00E113B3" w:rsidP="00E113B3">
            <w:pPr>
              <w:spacing w:before="0" w:after="0" w:line="240" w:lineRule="auto"/>
              <w:rPr>
                <w:rFonts w:eastAsia="Times New Roman"/>
                <w:color w:val="000000"/>
                <w:kern w:val="0"/>
                <w14:ligatures w14:val="none"/>
              </w:rPr>
            </w:pPr>
            <w:r w:rsidRPr="00A30FC6">
              <w:rPr>
                <w:rFonts w:eastAsia="Times New Roman"/>
                <w:color w:val="000000"/>
                <w:kern w:val="0"/>
                <w14:ligatures w14:val="none"/>
              </w:rPr>
              <w:t>All TWC-VR staff</w:t>
            </w:r>
          </w:p>
        </w:tc>
        <w:tc>
          <w:tcPr>
            <w:tcW w:w="1217" w:type="dxa"/>
            <w:shd w:val="clear" w:color="auto" w:fill="auto"/>
            <w:noWrap/>
            <w:vAlign w:val="bottom"/>
            <w:hideMark/>
          </w:tcPr>
          <w:p w14:paraId="6AEA5512" w14:textId="77777777" w:rsidR="00E113B3" w:rsidRPr="00A30FC6" w:rsidRDefault="00E113B3" w:rsidP="008228D9">
            <w:pPr>
              <w:spacing w:before="0" w:after="0" w:line="240" w:lineRule="auto"/>
              <w:rPr>
                <w:rFonts w:eastAsia="Times New Roman"/>
                <w:color w:val="000000"/>
                <w:kern w:val="0"/>
                <w14:ligatures w14:val="none"/>
              </w:rPr>
            </w:pPr>
            <w:r w:rsidRPr="00A30FC6">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1C7361C" w14:textId="77777777" w:rsidR="00A66766" w:rsidRPr="00DC5EBA" w:rsidRDefault="00A66766" w:rsidP="00A66766">
      <w:pPr>
        <w:spacing w:after="240"/>
      </w:pPr>
      <w:r w:rsidRPr="00DC5EBA">
        <w:t>Specifically, the purpose of this policy and these procedures is to ensure adherence to</w:t>
      </w:r>
      <w:r w:rsidRPr="00532343">
        <w:rPr>
          <w:rFonts w:ascii="Verdana" w:hAnsi="Verdana"/>
        </w:rPr>
        <w:t xml:space="preserve"> </w:t>
      </w:r>
      <w:r w:rsidRPr="00532343">
        <w:t xml:space="preserve">subrogation within </w:t>
      </w:r>
      <w:r>
        <w:t>TWC-</w:t>
      </w:r>
      <w:r w:rsidRPr="00532343">
        <w:t>VR</w:t>
      </w:r>
      <w:r w:rsidRPr="00DC5EBA">
        <w:t xml:space="preserve">. </w:t>
      </w:r>
    </w:p>
    <w:p w14:paraId="077D4BD0" w14:textId="0E0D9B4E" w:rsidR="00F04098" w:rsidRDefault="00A001F3" w:rsidP="0033181C">
      <w:pPr>
        <w:pStyle w:val="Heading2"/>
      </w:pPr>
      <w:r>
        <w:t>DEFINITIONS</w:t>
      </w:r>
    </w:p>
    <w:p w14:paraId="514E48EB" w14:textId="77777777" w:rsidR="002E6F1E" w:rsidRPr="003F6652" w:rsidRDefault="002E6F1E" w:rsidP="002E6F1E">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540F55E5" w14:textId="70F37BEA" w:rsidR="00A66766" w:rsidRDefault="00A66766" w:rsidP="00A66766">
      <w:r w:rsidRPr="00556052">
        <w:rPr>
          <w:u w:val="single"/>
        </w:rPr>
        <w:t>Subrogation</w:t>
      </w:r>
      <w:r w:rsidRPr="00556052">
        <w:t xml:space="preserve">: A process in which TWC-VR recovers all or part of the costs of services provided to customers </w:t>
      </w:r>
      <w:r>
        <w:t>as a result of a customer b</w:t>
      </w:r>
      <w:r w:rsidRPr="00556052">
        <w:t>eing injured in an accident that was somebody else’s fault and</w:t>
      </w:r>
      <w:r>
        <w:t xml:space="preserve"> r</w:t>
      </w:r>
      <w:r w:rsidRPr="00556052">
        <w:t>ecovering monetary damages in a lawsuit or insurance settlement.</w:t>
      </w:r>
    </w:p>
    <w:p w14:paraId="6F64A872" w14:textId="77777777" w:rsidR="002E6F1E" w:rsidRDefault="002E6F1E" w:rsidP="002E6F1E">
      <w:bookmarkStart w:id="0" w:name="_Hlk170175721"/>
      <w:r w:rsidRPr="00A0757B">
        <w:rPr>
          <w:u w:val="single"/>
        </w:rPr>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p>
    <w:bookmarkEnd w:id="0"/>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054F3B9D" w14:textId="77777777" w:rsidR="00A66766" w:rsidRPr="00A66766" w:rsidRDefault="00A66766" w:rsidP="00A66766">
      <w:pPr>
        <w:autoSpaceDE w:val="0"/>
        <w:autoSpaceDN w:val="0"/>
        <w:adjustRightInd w:val="0"/>
        <w:rPr>
          <w:bCs/>
        </w:rPr>
      </w:pPr>
      <w:bookmarkStart w:id="1" w:name="_Hlk134721585"/>
      <w:r w:rsidRPr="00A66766">
        <w:rPr>
          <w:bCs/>
        </w:rPr>
        <w:t>In accordance with the Texas Labor Code, TWC-VR may be subrogated to the customer's right of recovery when TWC-VR pays for rehabilitation or medical care services for a customer. In other words, TWC-VR is put in the customer's place and assumes the customer's right of recovery from—</w:t>
      </w:r>
    </w:p>
    <w:p w14:paraId="4BAEA264" w14:textId="77777777" w:rsidR="00A66766" w:rsidRPr="00532343" w:rsidRDefault="00A66766" w:rsidP="00A66766">
      <w:pPr>
        <w:pStyle w:val="ListBulleted"/>
      </w:pPr>
      <w:r w:rsidRPr="00532343">
        <w:t>Personal insurance;</w:t>
      </w:r>
    </w:p>
    <w:p w14:paraId="0598C48D" w14:textId="77777777" w:rsidR="00A66766" w:rsidRPr="00532343" w:rsidRDefault="00A66766" w:rsidP="00A66766">
      <w:pPr>
        <w:pStyle w:val="ListBulleted"/>
      </w:pPr>
      <w:r w:rsidRPr="00532343">
        <w:lastRenderedPageBreak/>
        <w:t>Another person for personal injury caused by the other individual's negligence or wrongdoing; or</w:t>
      </w:r>
    </w:p>
    <w:p w14:paraId="50B9101E" w14:textId="77777777" w:rsidR="00A66766" w:rsidRPr="00532343" w:rsidRDefault="00A66766" w:rsidP="00A66766">
      <w:pPr>
        <w:pStyle w:val="ListBulleted"/>
      </w:pPr>
      <w:r w:rsidRPr="00532343">
        <w:t>Any other source.</w:t>
      </w:r>
    </w:p>
    <w:p w14:paraId="66AC1FE5" w14:textId="77777777" w:rsidR="00A66766" w:rsidRPr="00A66766" w:rsidRDefault="00A66766" w:rsidP="00A66766">
      <w:pPr>
        <w:rPr>
          <w:bCs/>
        </w:rPr>
      </w:pPr>
      <w:r w:rsidRPr="00A66766">
        <w:rPr>
          <w:bCs/>
        </w:rPr>
        <w:t>TWC-VR's right of subrogation is limited to the cost of the services provided to the customer. For example, TWC-VR pays for rehabilitation or medical services made necessary by a motor vehicle accident, and the customer later receives a court judgment or insurance settlement for the accident. TWC-VR is entitled to be reimbursed out of the proceeds of the settlement or judgment for the services provided to the customer.</w:t>
      </w:r>
    </w:p>
    <w:p w14:paraId="74507B97" w14:textId="77777777" w:rsidR="00A66766" w:rsidRPr="00A66766" w:rsidRDefault="00A66766" w:rsidP="00A66766">
      <w:pPr>
        <w:rPr>
          <w:bCs/>
        </w:rPr>
      </w:pPr>
      <w:r w:rsidRPr="00A66766">
        <w:rPr>
          <w:bCs/>
        </w:rPr>
        <w:t>TWC-VR can waive, totally or partially, TWC-VR's subrogation interest when it is found that enforcement will likely defeat the purpose of the customer's rehabilitation.</w:t>
      </w:r>
    </w:p>
    <w:p w14:paraId="26E72F5E" w14:textId="77777777" w:rsidR="00A66766" w:rsidRDefault="00A66766" w:rsidP="00A66766">
      <w:pPr>
        <w:pStyle w:val="Heading3"/>
      </w:pPr>
      <w:r w:rsidRPr="00532343">
        <w:t>Office of General Counsel (OGC)</w:t>
      </w:r>
    </w:p>
    <w:p w14:paraId="4EA2432B" w14:textId="10A50CC2" w:rsidR="00A66766" w:rsidRPr="00A66766" w:rsidRDefault="00A66766" w:rsidP="00A66766">
      <w:pPr>
        <w:autoSpaceDE w:val="0"/>
        <w:autoSpaceDN w:val="0"/>
        <w:adjustRightInd w:val="0"/>
        <w:rPr>
          <w:bCs/>
        </w:rPr>
      </w:pPr>
      <w:r w:rsidRPr="00A66766">
        <w:rPr>
          <w:bCs/>
        </w:rPr>
        <w:t>OGC provides all legal support and representation regarding subrogation. Within OGC, the subrogation coordinator—</w:t>
      </w:r>
    </w:p>
    <w:p w14:paraId="41F7B771" w14:textId="77777777" w:rsidR="00A66766" w:rsidRPr="00532343" w:rsidRDefault="00A66766" w:rsidP="00A66766">
      <w:pPr>
        <w:pStyle w:val="ListBulleted"/>
      </w:pPr>
      <w:r w:rsidRPr="00532343">
        <w:t>Helps identify cases that are appropriate for subrogation;</w:t>
      </w:r>
    </w:p>
    <w:p w14:paraId="57453654" w14:textId="77777777" w:rsidR="00A66766" w:rsidRPr="00532343" w:rsidRDefault="00A66766" w:rsidP="00A66766">
      <w:pPr>
        <w:pStyle w:val="ListBulleted"/>
      </w:pPr>
      <w:r w:rsidRPr="00532343">
        <w:t>Begins efforts to recover costs when OGC is notified of a subrogation case; and</w:t>
      </w:r>
    </w:p>
    <w:p w14:paraId="15420AE9" w14:textId="77777777" w:rsidR="00A66766" w:rsidRPr="00532343" w:rsidRDefault="00A66766" w:rsidP="00A66766">
      <w:pPr>
        <w:pStyle w:val="ListBulleted"/>
      </w:pPr>
      <w:r w:rsidRPr="00532343">
        <w:t xml:space="preserve">Communicates with </w:t>
      </w:r>
      <w:r>
        <w:t>C</w:t>
      </w:r>
      <w:r w:rsidRPr="00532343">
        <w:t>ounselors and private attorneys to facilitate reimbursement.</w:t>
      </w:r>
    </w:p>
    <w:p w14:paraId="3C2A229F" w14:textId="77777777" w:rsidR="00A66766" w:rsidRDefault="00A66766" w:rsidP="00A66766">
      <w:pPr>
        <w:pStyle w:val="Heading3"/>
      </w:pPr>
      <w:r w:rsidRPr="00532343">
        <w:t xml:space="preserve">Comparable </w:t>
      </w:r>
      <w:r>
        <w:t xml:space="preserve">Services and </w:t>
      </w:r>
      <w:r w:rsidRPr="00532343">
        <w:t>Benefits in Subrogation</w:t>
      </w:r>
    </w:p>
    <w:p w14:paraId="21A950AE" w14:textId="32387D42" w:rsidR="00A66766" w:rsidRPr="00A66766" w:rsidRDefault="00A66766" w:rsidP="00A66766">
      <w:pPr>
        <w:autoSpaceDE w:val="0"/>
        <w:autoSpaceDN w:val="0"/>
        <w:adjustRightInd w:val="0"/>
        <w:rPr>
          <w:bCs/>
        </w:rPr>
      </w:pPr>
      <w:r w:rsidRPr="00A66766">
        <w:rPr>
          <w:bCs/>
        </w:rPr>
        <w:t xml:space="preserve">TWC-VR funds can be used before a settlement or judgment is reached in a workers' compensation or liability case when funds are not available at the time needed to ensure the customer's progress toward the employment goal, so it is not delayed. </w:t>
      </w:r>
    </w:p>
    <w:bookmarkEnd w:id="1"/>
    <w:p w14:paraId="11E48025" w14:textId="511E42FF" w:rsidR="00934027" w:rsidRDefault="00145D80" w:rsidP="00CF06B7">
      <w:pPr>
        <w:pStyle w:val="Heading2"/>
      </w:pPr>
      <w:r>
        <w:t>PROCEDURES</w:t>
      </w:r>
    </w:p>
    <w:p w14:paraId="3BF5E84A" w14:textId="7BEBADAD" w:rsidR="000538A8" w:rsidRDefault="000538A8" w:rsidP="00896AC1">
      <w:pPr>
        <w:pStyle w:val="Heading3"/>
        <w:numPr>
          <w:ilvl w:val="0"/>
          <w:numId w:val="37"/>
        </w:numPr>
      </w:pPr>
      <w:r>
        <w:t>S</w:t>
      </w:r>
      <w:r w:rsidR="00A66766">
        <w:t>ubrogation Inquiries</w:t>
      </w:r>
    </w:p>
    <w:p w14:paraId="56D78777" w14:textId="77777777" w:rsidR="00A66766" w:rsidRPr="00A66766" w:rsidRDefault="00A66766" w:rsidP="00A66766">
      <w:pPr>
        <w:autoSpaceDE w:val="0"/>
        <w:autoSpaceDN w:val="0"/>
        <w:adjustRightInd w:val="0"/>
        <w:rPr>
          <w:bCs/>
        </w:rPr>
      </w:pPr>
      <w:r w:rsidRPr="00A66766">
        <w:rPr>
          <w:bCs/>
        </w:rPr>
        <w:t>When completing or updating the Personal Information page in ReHabWorks (RHW), or at any other appropriate time during the rehabilitation process (e.g., Individualized Plan for Employment [IPE] amendment), the VR Counselor must ask the customer whether they have retained an attorney for any issues associated with an injury.</w:t>
      </w:r>
    </w:p>
    <w:p w14:paraId="2574CED4" w14:textId="77777777" w:rsidR="00A66766" w:rsidRPr="00A66766" w:rsidRDefault="00A66766" w:rsidP="00A66766">
      <w:pPr>
        <w:rPr>
          <w:bCs/>
        </w:rPr>
      </w:pPr>
      <w:r w:rsidRPr="00A66766">
        <w:rPr>
          <w:bCs/>
        </w:rPr>
        <w:t>If the customer confirms that they have retained an attorney, then it is presumed that there is a pending claim or litigation and the VR Counselor must ascertain whether TWC-VR may pursue subrogation.</w:t>
      </w:r>
    </w:p>
    <w:p w14:paraId="50B59230" w14:textId="77777777" w:rsidR="00A66766" w:rsidRDefault="00A66766" w:rsidP="00A66766">
      <w:pPr>
        <w:pStyle w:val="Heading3"/>
      </w:pPr>
      <w:r w:rsidRPr="00532343">
        <w:lastRenderedPageBreak/>
        <w:t>Types of Subrogation</w:t>
      </w:r>
    </w:p>
    <w:p w14:paraId="0D2F5264" w14:textId="35A331AD" w:rsidR="00A66766" w:rsidRPr="00A66766" w:rsidRDefault="00A66766" w:rsidP="00A66766">
      <w:pPr>
        <w:autoSpaceDE w:val="0"/>
        <w:autoSpaceDN w:val="0"/>
        <w:adjustRightInd w:val="0"/>
        <w:rPr>
          <w:bCs/>
        </w:rPr>
      </w:pPr>
      <w:r w:rsidRPr="00A66766">
        <w:rPr>
          <w:bCs/>
        </w:rPr>
        <w:t xml:space="preserve">When the customer has retained an attorney or there is an injury-related lawsuit pending, the VR Counselor reviews the following scenarios with the customer to determine whether a </w:t>
      </w:r>
      <w:r w:rsidRPr="00A66766">
        <w:rPr>
          <w:bCs/>
          <w:i/>
          <w:iCs/>
        </w:rPr>
        <w:t>Subrogation Report (VR3500)</w:t>
      </w:r>
      <w:r w:rsidRPr="00A66766">
        <w:rPr>
          <w:bCs/>
        </w:rPr>
        <w:t xml:space="preserve"> should be completed:</w:t>
      </w:r>
    </w:p>
    <w:p w14:paraId="6B7882B8" w14:textId="77777777" w:rsidR="00A66766" w:rsidRPr="00532343" w:rsidRDefault="00A66766" w:rsidP="00A66766">
      <w:pPr>
        <w:pStyle w:val="ListBulleted"/>
      </w:pPr>
      <w:r w:rsidRPr="00532343">
        <w:t xml:space="preserve">A customer is bringing claims or suing another party for personal injury caused by the other party's negligence or wrongdoing, and when </w:t>
      </w:r>
      <w:r>
        <w:t>TWC-</w:t>
      </w:r>
      <w:r w:rsidRPr="00532343">
        <w:t>VR has expended, or will expend, funds for rehabilitation services due to the negligence or wrongdoing</w:t>
      </w:r>
      <w:r>
        <w:t>;</w:t>
      </w:r>
    </w:p>
    <w:p w14:paraId="093BB61F" w14:textId="77777777" w:rsidR="00A66766" w:rsidRPr="00532343" w:rsidRDefault="00A66766" w:rsidP="00A66766">
      <w:pPr>
        <w:pStyle w:val="ListBulleted"/>
      </w:pPr>
      <w:r w:rsidRPr="00532343">
        <w:t>A customer was injured on the job, but there is no workers' compensation coverage, and the customer has filed a liability claim or lawsuit</w:t>
      </w:r>
      <w:r>
        <w:t>; and</w:t>
      </w:r>
    </w:p>
    <w:p w14:paraId="52C67EAE" w14:textId="77777777" w:rsidR="00A66766" w:rsidRPr="008E6690" w:rsidRDefault="00A66766" w:rsidP="00A66766">
      <w:pPr>
        <w:pStyle w:val="ListBulleted"/>
      </w:pPr>
      <w:r w:rsidRPr="00532343">
        <w:t>The Texas Department of Insurance, Division of Workers' Compensation, has denied the customer's claim, and the customer is appealing the denial either to the Texas Department of Insurance, Division of Workers' Compensation, or in court, and TWC-VR has provided or will provide diagnostic or restorative services related to the injury.</w:t>
      </w:r>
    </w:p>
    <w:p w14:paraId="23F6B4A0" w14:textId="77777777" w:rsidR="00A66766" w:rsidRPr="00A66766" w:rsidRDefault="00A66766" w:rsidP="00A66766">
      <w:pPr>
        <w:rPr>
          <w:bCs/>
        </w:rPr>
      </w:pPr>
      <w:r w:rsidRPr="00A66766">
        <w:rPr>
          <w:bCs/>
        </w:rPr>
        <w:t>TWC-VR does not pursue subrogation when any of the following are true:</w:t>
      </w:r>
    </w:p>
    <w:p w14:paraId="4A7C28AE" w14:textId="77777777" w:rsidR="00A66766" w:rsidRPr="00532343" w:rsidRDefault="00A66766" w:rsidP="00A66766">
      <w:pPr>
        <w:pStyle w:val="ListBulleted"/>
      </w:pPr>
      <w:r w:rsidRPr="00532343">
        <w:t>The Texas Department of Insurance, Division of Workers' Compensation, is paying or will pay for the customer's medical expenses;</w:t>
      </w:r>
    </w:p>
    <w:p w14:paraId="18316ACA" w14:textId="77777777" w:rsidR="00A66766" w:rsidRPr="00532343" w:rsidRDefault="00A66766" w:rsidP="00A66766">
      <w:pPr>
        <w:pStyle w:val="ListBulleted"/>
      </w:pPr>
      <w:r w:rsidRPr="00532343">
        <w:t>When the customer is applying for Supplemental Security Income (SSI) or Social Security Disability</w:t>
      </w:r>
      <w:r>
        <w:t xml:space="preserve"> Insurance</w:t>
      </w:r>
      <w:r w:rsidRPr="00532343">
        <w:t xml:space="preserve"> (SSD</w:t>
      </w:r>
      <w:r>
        <w:t>I</w:t>
      </w:r>
      <w:r w:rsidRPr="00532343">
        <w:t>) benefits;</w:t>
      </w:r>
    </w:p>
    <w:p w14:paraId="3ADA771D" w14:textId="77777777" w:rsidR="00A66766" w:rsidRPr="00532343" w:rsidRDefault="00A66766" w:rsidP="00A66766">
      <w:pPr>
        <w:pStyle w:val="ListBulleted"/>
      </w:pPr>
      <w:r w:rsidRPr="00532343">
        <w:t>When TWC-VR has expended no funds and expects to spend no funds; and</w:t>
      </w:r>
    </w:p>
    <w:p w14:paraId="6A18620F" w14:textId="77777777" w:rsidR="00A66766" w:rsidRPr="00532343" w:rsidRDefault="00A66766" w:rsidP="00A66766">
      <w:pPr>
        <w:pStyle w:val="ListBulleted"/>
      </w:pPr>
      <w:r w:rsidRPr="00532343">
        <w:t>When TWC-VR expenditures in on-the-job injury cases include no medical costs relating to the original injury.</w:t>
      </w:r>
    </w:p>
    <w:p w14:paraId="49FE86B7" w14:textId="77777777" w:rsidR="00A66766" w:rsidRDefault="00A66766" w:rsidP="00A66766">
      <w:pPr>
        <w:pStyle w:val="Heading3"/>
      </w:pPr>
      <w:r w:rsidRPr="00532343">
        <w:t>Subrogation Process</w:t>
      </w:r>
    </w:p>
    <w:p w14:paraId="4476C113" w14:textId="2FC59554" w:rsidR="00A66766" w:rsidRPr="00A66766" w:rsidRDefault="00A66766" w:rsidP="00A66766">
      <w:pPr>
        <w:autoSpaceDE w:val="0"/>
        <w:autoSpaceDN w:val="0"/>
        <w:adjustRightInd w:val="0"/>
        <w:rPr>
          <w:bCs/>
        </w:rPr>
      </w:pPr>
      <w:r w:rsidRPr="00A66766">
        <w:rPr>
          <w:bCs/>
        </w:rPr>
        <w:t>When TWC-VR has determined it may be entitled to pursue subrogation, the following steps are required by TWC-VR staff to ensure that OGC is notified of the pending subrogation case in a timely manner:</w:t>
      </w:r>
    </w:p>
    <w:p w14:paraId="1AD9D7C3" w14:textId="77777777" w:rsidR="00A66766" w:rsidRPr="00A66766" w:rsidRDefault="00A66766" w:rsidP="00A66766">
      <w:pPr>
        <w:pStyle w:val="ListParagraph"/>
      </w:pPr>
      <w:r w:rsidRPr="00A66766">
        <w:t>Steps and communications related to the pending or final subrogation must be documented in RHW as case notes;</w:t>
      </w:r>
    </w:p>
    <w:p w14:paraId="32370FDC" w14:textId="77777777" w:rsidR="00A66766" w:rsidRPr="00532343" w:rsidRDefault="00A66766" w:rsidP="00A66766">
      <w:pPr>
        <w:pStyle w:val="ListParagraph"/>
      </w:pPr>
      <w:r w:rsidRPr="00532343">
        <w:t>Complete</w:t>
      </w:r>
      <w:r>
        <w:t xml:space="preserve"> </w:t>
      </w:r>
      <w:r w:rsidRPr="00532343">
        <w:rPr>
          <w:i/>
          <w:iCs/>
        </w:rPr>
        <w:t>VR3500</w:t>
      </w:r>
      <w:r w:rsidRPr="00532343">
        <w:t>;</w:t>
      </w:r>
    </w:p>
    <w:p w14:paraId="0568315C" w14:textId="77777777" w:rsidR="00A66766" w:rsidRPr="00532343" w:rsidRDefault="00A66766" w:rsidP="00A66766">
      <w:pPr>
        <w:pStyle w:val="ListParagraph"/>
      </w:pPr>
      <w:r w:rsidRPr="00532343">
        <w:t xml:space="preserve">Enter </w:t>
      </w:r>
      <w:r>
        <w:t>"</w:t>
      </w:r>
      <w:r w:rsidRPr="00532343">
        <w:t>yes</w:t>
      </w:r>
      <w:r>
        <w:t>"</w:t>
      </w:r>
      <w:r w:rsidRPr="00532343">
        <w:t xml:space="preserve"> in the </w:t>
      </w:r>
      <w:r>
        <w:t>"</w:t>
      </w:r>
      <w:r w:rsidRPr="00532343">
        <w:t>lawsuit pending</w:t>
      </w:r>
      <w:r>
        <w:t>"</w:t>
      </w:r>
      <w:r w:rsidRPr="00532343">
        <w:t xml:space="preserve"> section of the RHW Personal Information page;</w:t>
      </w:r>
    </w:p>
    <w:p w14:paraId="093A4003" w14:textId="77777777" w:rsidR="00A66766" w:rsidRPr="00532343" w:rsidRDefault="00A66766" w:rsidP="00A66766">
      <w:pPr>
        <w:pStyle w:val="ListParagraph"/>
      </w:pPr>
      <w:r w:rsidRPr="00532343">
        <w:t>Send the completed form to OGC (email, fax, mail):</w:t>
      </w:r>
    </w:p>
    <w:p w14:paraId="1AB65F4D" w14:textId="77777777" w:rsidR="00A66766" w:rsidRPr="00532343" w:rsidRDefault="00A66766" w:rsidP="0036319F">
      <w:pPr>
        <w:pStyle w:val="ListParagraph"/>
        <w:numPr>
          <w:ilvl w:val="0"/>
          <w:numId w:val="0"/>
        </w:numPr>
        <w:spacing w:before="0" w:after="40" w:line="240" w:lineRule="auto"/>
        <w:ind w:left="936" w:firstLine="216"/>
        <w:rPr>
          <w:b/>
        </w:rPr>
      </w:pPr>
      <w:r w:rsidRPr="00532343">
        <w:rPr>
          <w:b/>
        </w:rPr>
        <w:t>T</w:t>
      </w:r>
      <w:r>
        <w:rPr>
          <w:b/>
        </w:rPr>
        <w:t>WC</w:t>
      </w:r>
      <w:r w:rsidRPr="00532343">
        <w:rPr>
          <w:b/>
        </w:rPr>
        <w:t xml:space="preserve"> </w:t>
      </w:r>
      <w:r>
        <w:rPr>
          <w:b/>
        </w:rPr>
        <w:t>OGC</w:t>
      </w:r>
    </w:p>
    <w:p w14:paraId="6172C6E4" w14:textId="77777777" w:rsidR="00A66766" w:rsidRPr="00532343" w:rsidRDefault="00A66766" w:rsidP="0036319F">
      <w:pPr>
        <w:pStyle w:val="ListParagraph"/>
        <w:numPr>
          <w:ilvl w:val="0"/>
          <w:numId w:val="0"/>
        </w:numPr>
        <w:spacing w:before="0" w:after="40" w:line="240" w:lineRule="auto"/>
        <w:ind w:left="720" w:firstLine="432"/>
        <w:rPr>
          <w:bCs/>
        </w:rPr>
      </w:pPr>
      <w:r w:rsidRPr="00532343">
        <w:rPr>
          <w:bCs/>
        </w:rPr>
        <w:t>Attention: Legal Assistant</w:t>
      </w:r>
    </w:p>
    <w:p w14:paraId="0B450255" w14:textId="77777777" w:rsidR="00A66766" w:rsidRPr="00532343" w:rsidRDefault="00A66766" w:rsidP="0036319F">
      <w:pPr>
        <w:pStyle w:val="ListParagraph"/>
        <w:numPr>
          <w:ilvl w:val="0"/>
          <w:numId w:val="0"/>
        </w:numPr>
        <w:spacing w:before="0" w:after="40" w:line="240" w:lineRule="auto"/>
        <w:ind w:left="936" w:firstLine="216"/>
        <w:rPr>
          <w:bCs/>
        </w:rPr>
      </w:pPr>
      <w:r w:rsidRPr="00532343">
        <w:rPr>
          <w:bCs/>
        </w:rPr>
        <w:lastRenderedPageBreak/>
        <w:t>101 East 15th Street, Room 608</w:t>
      </w:r>
    </w:p>
    <w:p w14:paraId="717720C3" w14:textId="77777777" w:rsidR="00A66766" w:rsidRPr="00532343" w:rsidRDefault="00A66766" w:rsidP="0036319F">
      <w:pPr>
        <w:pStyle w:val="ListParagraph"/>
        <w:numPr>
          <w:ilvl w:val="0"/>
          <w:numId w:val="0"/>
        </w:numPr>
        <w:spacing w:before="0" w:after="40" w:line="240" w:lineRule="auto"/>
        <w:ind w:left="720" w:firstLine="432"/>
        <w:rPr>
          <w:bCs/>
        </w:rPr>
      </w:pPr>
      <w:r w:rsidRPr="00532343">
        <w:rPr>
          <w:bCs/>
        </w:rPr>
        <w:t>Austin, Texas 78778</w:t>
      </w:r>
    </w:p>
    <w:p w14:paraId="0230C74A" w14:textId="77777777" w:rsidR="00A66766" w:rsidRPr="008E6690" w:rsidRDefault="00A66766" w:rsidP="0036319F">
      <w:pPr>
        <w:spacing w:after="40" w:line="240" w:lineRule="auto"/>
        <w:ind w:left="936" w:firstLine="216"/>
        <w:rPr>
          <w:bCs/>
        </w:rPr>
      </w:pPr>
      <w:r w:rsidRPr="008E6690">
        <w:rPr>
          <w:bCs/>
        </w:rPr>
        <w:t xml:space="preserve">Tel: </w:t>
      </w:r>
      <w:r>
        <w:rPr>
          <w:bCs/>
        </w:rPr>
        <w:t>(</w:t>
      </w:r>
      <w:r w:rsidRPr="008E6690">
        <w:rPr>
          <w:bCs/>
        </w:rPr>
        <w:t>512</w:t>
      </w:r>
      <w:r>
        <w:rPr>
          <w:bCs/>
        </w:rPr>
        <w:t xml:space="preserve">) </w:t>
      </w:r>
      <w:r w:rsidRPr="008E6690">
        <w:rPr>
          <w:bCs/>
        </w:rPr>
        <w:t>936-3511</w:t>
      </w:r>
    </w:p>
    <w:p w14:paraId="245A0B78" w14:textId="77777777" w:rsidR="00A66766" w:rsidRPr="00532343" w:rsidRDefault="00A66766" w:rsidP="0036319F">
      <w:pPr>
        <w:pStyle w:val="ListParagraph"/>
        <w:numPr>
          <w:ilvl w:val="0"/>
          <w:numId w:val="0"/>
        </w:numPr>
        <w:spacing w:before="0" w:after="40" w:line="240" w:lineRule="auto"/>
        <w:ind w:left="720" w:firstLine="432"/>
        <w:rPr>
          <w:bCs/>
        </w:rPr>
      </w:pPr>
      <w:r w:rsidRPr="00532343">
        <w:rPr>
          <w:bCs/>
        </w:rPr>
        <w:t xml:space="preserve">Fax: </w:t>
      </w:r>
      <w:r>
        <w:rPr>
          <w:bCs/>
        </w:rPr>
        <w:t>(</w:t>
      </w:r>
      <w:r w:rsidRPr="00532343">
        <w:rPr>
          <w:bCs/>
        </w:rPr>
        <w:t>512</w:t>
      </w:r>
      <w:r>
        <w:rPr>
          <w:bCs/>
        </w:rPr>
        <w:t xml:space="preserve">) </w:t>
      </w:r>
      <w:r w:rsidRPr="00532343">
        <w:rPr>
          <w:bCs/>
        </w:rPr>
        <w:t>463-1426</w:t>
      </w:r>
    </w:p>
    <w:p w14:paraId="2D76CD2B" w14:textId="77777777" w:rsidR="00A66766" w:rsidRPr="008E6690" w:rsidRDefault="00A66766" w:rsidP="0036319F">
      <w:pPr>
        <w:spacing w:before="0" w:after="40" w:line="240" w:lineRule="auto"/>
        <w:ind w:left="936" w:firstLine="216"/>
        <w:rPr>
          <w:bCs/>
        </w:rPr>
      </w:pPr>
      <w:r w:rsidRPr="008E6690">
        <w:rPr>
          <w:bCs/>
        </w:rPr>
        <w:t xml:space="preserve">Email: </w:t>
      </w:r>
      <w:hyperlink r:id="rId12" w:history="1">
        <w:r w:rsidRPr="008E6690">
          <w:rPr>
            <w:rStyle w:val="Hyperlink"/>
            <w:bCs/>
            <w:lang w:val="en" w:eastAsia="ja-JP"/>
          </w:rPr>
          <w:t>subrogation@twc.texas.gov</w:t>
        </w:r>
      </w:hyperlink>
      <w:r w:rsidRPr="008E6690">
        <w:rPr>
          <w:bCs/>
        </w:rPr>
        <w:t xml:space="preserve">  </w:t>
      </w:r>
    </w:p>
    <w:p w14:paraId="41A9BB8B" w14:textId="24EDDB89" w:rsidR="00A66766" w:rsidRPr="00A66766" w:rsidRDefault="00A66766" w:rsidP="00A66766">
      <w:pPr>
        <w:pStyle w:val="ListParagraph"/>
      </w:pPr>
      <w:r w:rsidRPr="00A66766">
        <w:t xml:space="preserve">Include copy of </w:t>
      </w:r>
      <w:r w:rsidRPr="00A66766">
        <w:rPr>
          <w:i/>
          <w:iCs/>
        </w:rPr>
        <w:t>VR3500</w:t>
      </w:r>
      <w:r w:rsidRPr="00A66766">
        <w:t xml:space="preserve"> in the customer's paper case file.</w:t>
      </w:r>
    </w:p>
    <w:p w14:paraId="278CA3EE" w14:textId="77777777" w:rsidR="00A66766" w:rsidRPr="00A66766" w:rsidRDefault="00A66766" w:rsidP="00A66766">
      <w:pPr>
        <w:rPr>
          <w:bCs/>
        </w:rPr>
      </w:pPr>
      <w:r w:rsidRPr="00A66766">
        <w:rPr>
          <w:bCs/>
        </w:rPr>
        <w:t>If the customer has questions about the subrogation process that the VR Counselor cannot answer, TWC-VR staff can escalate those questions through their chain of management to OGC for additional guidance and support.</w:t>
      </w:r>
    </w:p>
    <w:p w14:paraId="5979B288" w14:textId="77777777" w:rsidR="00A66766" w:rsidRPr="00A66766" w:rsidRDefault="00A66766" w:rsidP="00A66766">
      <w:pPr>
        <w:rPr>
          <w:bCs/>
        </w:rPr>
      </w:pPr>
      <w:r w:rsidRPr="00A66766">
        <w:rPr>
          <w:bCs/>
        </w:rPr>
        <w:t>OGC’s recovery process begins when funds that are recoverable have been encumbered. TWC-VR staff are not required to track a subrogated case at this point.</w:t>
      </w:r>
    </w:p>
    <w:p w14:paraId="424771A3" w14:textId="5817096D" w:rsidR="00145D80" w:rsidRDefault="009033A9" w:rsidP="00DF5CB7">
      <w:pPr>
        <w:pStyle w:val="Heading2"/>
      </w:pPr>
      <w:r>
        <w:t>APPROVALS &amp; CONSULTATIONS</w:t>
      </w:r>
    </w:p>
    <w:p w14:paraId="3018B412" w14:textId="0982DF93" w:rsidR="009033A9" w:rsidRPr="00E57035" w:rsidRDefault="00A70A57" w:rsidP="00A66766">
      <w:r w:rsidRPr="00E57035">
        <w:t>There are no approvals or consultations for this policy and these procedures</w:t>
      </w:r>
      <w:r w:rsidR="00133CB2" w:rsidRPr="00E57035">
        <w:t>.</w:t>
      </w:r>
    </w:p>
    <w:p w14:paraId="1D928E4F" w14:textId="77777777" w:rsidR="00F2751F" w:rsidRPr="009D5287" w:rsidRDefault="00F2751F" w:rsidP="00F2751F">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1A6A3515" w14:textId="77777777" w:rsidR="00F2751F" w:rsidRPr="009D5287" w:rsidRDefault="00F2751F" w:rsidP="00F2751F">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F2751F" w:rsidRPr="009D5287" w14:paraId="71556675" w14:textId="77777777" w:rsidTr="004E2DF6">
        <w:tc>
          <w:tcPr>
            <w:tcW w:w="1861" w:type="dxa"/>
            <w:shd w:val="clear" w:color="auto" w:fill="F0F4FA" w:themeFill="accent4"/>
            <w:vAlign w:val="center"/>
          </w:tcPr>
          <w:p w14:paraId="77832BEF" w14:textId="77777777" w:rsidR="00F2751F" w:rsidRPr="009D5287" w:rsidRDefault="00F2751F"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7E3970B3" w14:textId="77777777" w:rsidR="00F2751F" w:rsidRPr="009D5287" w:rsidRDefault="00F2751F" w:rsidP="004E2DF6">
            <w:pPr>
              <w:rPr>
                <w:b/>
                <w:lang w:val="en" w:eastAsia="ja-JP"/>
              </w:rPr>
            </w:pPr>
            <w:r w:rsidRPr="009D5287">
              <w:rPr>
                <w:b/>
                <w:lang w:val="en" w:eastAsia="ja-JP"/>
              </w:rPr>
              <w:t>Type</w:t>
            </w:r>
          </w:p>
        </w:tc>
        <w:tc>
          <w:tcPr>
            <w:tcW w:w="7350" w:type="dxa"/>
            <w:shd w:val="clear" w:color="auto" w:fill="F0F4FA" w:themeFill="accent4"/>
            <w:vAlign w:val="center"/>
          </w:tcPr>
          <w:p w14:paraId="7CA56D0C" w14:textId="77777777" w:rsidR="00F2751F" w:rsidRPr="009D5287" w:rsidRDefault="00F2751F" w:rsidP="004E2DF6">
            <w:pPr>
              <w:rPr>
                <w:b/>
                <w:lang w:val="en" w:eastAsia="ja-JP"/>
              </w:rPr>
            </w:pPr>
            <w:r w:rsidRPr="009D5287">
              <w:rPr>
                <w:b/>
                <w:lang w:val="en" w:eastAsia="ja-JP"/>
              </w:rPr>
              <w:t>Change Description</w:t>
            </w:r>
          </w:p>
        </w:tc>
      </w:tr>
      <w:tr w:rsidR="00F2751F" w:rsidRPr="009D5287" w14:paraId="3E08DBA7" w14:textId="77777777" w:rsidTr="004E2DF6">
        <w:tc>
          <w:tcPr>
            <w:tcW w:w="1861" w:type="dxa"/>
          </w:tcPr>
          <w:p w14:paraId="74489581" w14:textId="77777777" w:rsidR="00F2751F" w:rsidRPr="009D5287" w:rsidRDefault="00F2751F"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1F9C7192" w14:textId="77777777" w:rsidR="00F2751F" w:rsidRPr="009D5287" w:rsidRDefault="00F2751F" w:rsidP="004E2DF6">
            <w:r w:rsidRPr="009D5287">
              <w:t>New</w:t>
            </w:r>
          </w:p>
        </w:tc>
        <w:tc>
          <w:tcPr>
            <w:tcW w:w="7350" w:type="dxa"/>
          </w:tcPr>
          <w:p w14:paraId="4FBDC3AE" w14:textId="77777777" w:rsidR="00F2751F" w:rsidRPr="009D5287" w:rsidRDefault="00F2751F" w:rsidP="004E2DF6">
            <w:pPr>
              <w:rPr>
                <w:lang w:val="en" w:eastAsia="ja-JP"/>
              </w:rPr>
            </w:pPr>
            <w:r w:rsidRPr="009D5287">
              <w:t>VRSM Policy and Procedure Rewrite</w:t>
            </w:r>
          </w:p>
        </w:tc>
      </w:tr>
    </w:tbl>
    <w:p w14:paraId="5EB73B5E" w14:textId="18C19CB6" w:rsidR="001901F0" w:rsidRPr="00E57035" w:rsidRDefault="001901F0" w:rsidP="00F2751F">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062A" w14:textId="77777777" w:rsidR="00722AE1" w:rsidRDefault="00722AE1" w:rsidP="00895186">
      <w:r>
        <w:separator/>
      </w:r>
    </w:p>
  </w:endnote>
  <w:endnote w:type="continuationSeparator" w:id="0">
    <w:p w14:paraId="6ABC43B5" w14:textId="77777777" w:rsidR="00722AE1" w:rsidRDefault="00722AE1" w:rsidP="00895186">
      <w:r>
        <w:continuationSeparator/>
      </w:r>
    </w:p>
  </w:endnote>
  <w:endnote w:type="continuationNotice" w:id="1">
    <w:p w14:paraId="54E13F31" w14:textId="77777777" w:rsidR="00606B8D" w:rsidRDefault="00606B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424284" w:rsidR="00B24E6C" w:rsidRDefault="00501E08" w:rsidP="00895186">
    <w:pPr>
      <w:pStyle w:val="Footer"/>
    </w:pPr>
    <w:r w:rsidRPr="005017F1">
      <w:rPr>
        <w:noProof/>
      </w:rPr>
      <mc:AlternateContent>
        <mc:Choice Requires="wps">
          <w:drawing>
            <wp:anchor distT="0" distB="0" distL="114300" distR="114300" simplePos="0" relativeHeight="251658243" behindDoc="0" locked="0" layoutInCell="1" allowOverlap="1" wp14:anchorId="07B428C2" wp14:editId="63E81F4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0B0B3F3" wp14:editId="35B24D86">
              <wp:simplePos x="0" y="0"/>
              <wp:positionH relativeFrom="column">
                <wp:posOffset>-375920</wp:posOffset>
              </wp:positionH>
              <wp:positionV relativeFrom="paragraph">
                <wp:posOffset>3175</wp:posOffset>
              </wp:positionV>
              <wp:extent cx="28003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800350" cy="488950"/>
                      </a:xfrm>
                      <a:prstGeom prst="rect">
                        <a:avLst/>
                      </a:prstGeom>
                      <a:noFill/>
                      <a:ln w="6350">
                        <a:noFill/>
                      </a:ln>
                    </wps:spPr>
                    <wps:txbx>
                      <w:txbxContent>
                        <w:p w14:paraId="25686EF3" w14:textId="3F3E08FF" w:rsidR="00501E08" w:rsidRPr="00501E08" w:rsidRDefault="00A66766" w:rsidP="00895186">
                          <w:r>
                            <w:t>Part A, Chapter 9: Subrogation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7" type="#_x0000_t202" style="position:absolute;margin-left:-29.6pt;margin-top:.25pt;width:220.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" filled="f" stroked="f" strokeweight=".5pt">
              <v:textbox>
                <w:txbxContent>
                  <w:p w14:paraId="25686EF3" w14:textId="3F3E08FF" w:rsidR="00501E08" w:rsidRPr="00501E08" w:rsidRDefault="00A66766" w:rsidP="00895186">
                    <w:r>
                      <w:t>Part A, Chapter 9: Subrogation</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F8B1" w14:textId="77777777" w:rsidR="00722AE1" w:rsidRDefault="00722AE1" w:rsidP="00895186">
      <w:r>
        <w:separator/>
      </w:r>
    </w:p>
  </w:footnote>
  <w:footnote w:type="continuationSeparator" w:id="0">
    <w:p w14:paraId="3F26D927" w14:textId="77777777" w:rsidR="00722AE1" w:rsidRDefault="00722AE1" w:rsidP="00895186">
      <w:r>
        <w:continuationSeparator/>
      </w:r>
    </w:p>
  </w:footnote>
  <w:footnote w:type="continuationNotice" w:id="1">
    <w:p w14:paraId="799CCB39" w14:textId="77777777" w:rsidR="00606B8D" w:rsidRDefault="00606B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1DB2265"/>
    <w:multiLevelType w:val="hybridMultilevel"/>
    <w:tmpl w:val="FBBA974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E70576E"/>
    <w:multiLevelType w:val="hybridMultilevel"/>
    <w:tmpl w:val="6336AC2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947443"/>
    <w:multiLevelType w:val="hybridMultilevel"/>
    <w:tmpl w:val="F38040C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4CA10263"/>
    <w:multiLevelType w:val="hybridMultilevel"/>
    <w:tmpl w:val="3732039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2"/>
  </w:num>
  <w:num w:numId="2" w16cid:durableId="620455520">
    <w:abstractNumId w:val="0"/>
  </w:num>
  <w:num w:numId="3" w16cid:durableId="943148761">
    <w:abstractNumId w:val="18"/>
  </w:num>
  <w:num w:numId="4" w16cid:durableId="109056539">
    <w:abstractNumId w:val="32"/>
  </w:num>
  <w:num w:numId="5" w16cid:durableId="1893686843">
    <w:abstractNumId w:val="23"/>
  </w:num>
  <w:num w:numId="6" w16cid:durableId="760954600">
    <w:abstractNumId w:val="26"/>
  </w:num>
  <w:num w:numId="7" w16cid:durableId="1429428784">
    <w:abstractNumId w:val="15"/>
  </w:num>
  <w:num w:numId="8" w16cid:durableId="436485834">
    <w:abstractNumId w:val="10"/>
  </w:num>
  <w:num w:numId="9" w16cid:durableId="127362230">
    <w:abstractNumId w:val="5"/>
  </w:num>
  <w:num w:numId="10" w16cid:durableId="1604805518">
    <w:abstractNumId w:val="6"/>
  </w:num>
  <w:num w:numId="11" w16cid:durableId="1256401764">
    <w:abstractNumId w:val="27"/>
  </w:num>
  <w:num w:numId="12" w16cid:durableId="1548175440">
    <w:abstractNumId w:val="33"/>
  </w:num>
  <w:num w:numId="13" w16cid:durableId="975644156">
    <w:abstractNumId w:val="7"/>
  </w:num>
  <w:num w:numId="14" w16cid:durableId="2099713293">
    <w:abstractNumId w:val="20"/>
  </w:num>
  <w:num w:numId="15" w16cid:durableId="1594316770">
    <w:abstractNumId w:val="24"/>
  </w:num>
  <w:num w:numId="16" w16cid:durableId="700741873">
    <w:abstractNumId w:val="30"/>
  </w:num>
  <w:num w:numId="17" w16cid:durableId="1651835230">
    <w:abstractNumId w:val="19"/>
  </w:num>
  <w:num w:numId="18" w16cid:durableId="883299119">
    <w:abstractNumId w:val="31"/>
  </w:num>
  <w:num w:numId="19" w16cid:durableId="84305632">
    <w:abstractNumId w:val="14"/>
  </w:num>
  <w:num w:numId="20" w16cid:durableId="1057705478">
    <w:abstractNumId w:val="35"/>
  </w:num>
  <w:num w:numId="21" w16cid:durableId="96758055">
    <w:abstractNumId w:val="25"/>
  </w:num>
  <w:num w:numId="22" w16cid:durableId="722797963">
    <w:abstractNumId w:val="11"/>
  </w:num>
  <w:num w:numId="23" w16cid:durableId="1638485069">
    <w:abstractNumId w:val="17"/>
  </w:num>
  <w:num w:numId="24" w16cid:durableId="1439984590">
    <w:abstractNumId w:val="35"/>
    <w:lvlOverride w:ilvl="0">
      <w:startOverride w:val="1"/>
    </w:lvlOverride>
  </w:num>
  <w:num w:numId="25" w16cid:durableId="460730897">
    <w:abstractNumId w:val="12"/>
  </w:num>
  <w:num w:numId="26" w16cid:durableId="1377244451">
    <w:abstractNumId w:val="1"/>
  </w:num>
  <w:num w:numId="27" w16cid:durableId="30420175">
    <w:abstractNumId w:val="16"/>
  </w:num>
  <w:num w:numId="28" w16cid:durableId="763261832">
    <w:abstractNumId w:val="2"/>
  </w:num>
  <w:num w:numId="29" w16cid:durableId="1268929695">
    <w:abstractNumId w:val="16"/>
    <w:lvlOverride w:ilvl="0">
      <w:startOverride w:val="1"/>
    </w:lvlOverride>
  </w:num>
  <w:num w:numId="30" w16cid:durableId="1510757688">
    <w:abstractNumId w:val="16"/>
  </w:num>
  <w:num w:numId="31" w16cid:durableId="1760524021">
    <w:abstractNumId w:val="36"/>
  </w:num>
  <w:num w:numId="32" w16cid:durableId="191573243">
    <w:abstractNumId w:val="29"/>
  </w:num>
  <w:num w:numId="33" w16cid:durableId="718751240">
    <w:abstractNumId w:val="3"/>
  </w:num>
  <w:num w:numId="34" w16cid:durableId="1367289556">
    <w:abstractNumId w:val="21"/>
  </w:num>
  <w:num w:numId="35" w16cid:durableId="1934777624">
    <w:abstractNumId w:val="13"/>
  </w:num>
  <w:num w:numId="36" w16cid:durableId="1647272484">
    <w:abstractNumId w:val="34"/>
  </w:num>
  <w:num w:numId="37" w16cid:durableId="1327826153">
    <w:abstractNumId w:val="16"/>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064421">
    <w:abstractNumId w:val="9"/>
  </w:num>
  <w:num w:numId="40" w16cid:durableId="1137603107">
    <w:abstractNumId w:val="4"/>
  </w:num>
  <w:num w:numId="41" w16cid:durableId="751633131">
    <w:abstractNumId w:val="28"/>
  </w:num>
  <w:num w:numId="42" w16cid:durableId="1753118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365AB"/>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E6F1E"/>
    <w:rsid w:val="002F3A16"/>
    <w:rsid w:val="002F7604"/>
    <w:rsid w:val="003155F3"/>
    <w:rsid w:val="00330015"/>
    <w:rsid w:val="0033181C"/>
    <w:rsid w:val="00340B05"/>
    <w:rsid w:val="003500F1"/>
    <w:rsid w:val="0036319F"/>
    <w:rsid w:val="00380C78"/>
    <w:rsid w:val="00381C86"/>
    <w:rsid w:val="00387B68"/>
    <w:rsid w:val="003B11A4"/>
    <w:rsid w:val="003E1761"/>
    <w:rsid w:val="00405C65"/>
    <w:rsid w:val="00414B84"/>
    <w:rsid w:val="00417839"/>
    <w:rsid w:val="00420B1A"/>
    <w:rsid w:val="00422F66"/>
    <w:rsid w:val="00437552"/>
    <w:rsid w:val="0044342D"/>
    <w:rsid w:val="00454FA2"/>
    <w:rsid w:val="00472E58"/>
    <w:rsid w:val="00473095"/>
    <w:rsid w:val="0049537E"/>
    <w:rsid w:val="004E6008"/>
    <w:rsid w:val="00501E08"/>
    <w:rsid w:val="00507EDE"/>
    <w:rsid w:val="005349DD"/>
    <w:rsid w:val="00555595"/>
    <w:rsid w:val="005735AB"/>
    <w:rsid w:val="0057562C"/>
    <w:rsid w:val="00580991"/>
    <w:rsid w:val="005820F2"/>
    <w:rsid w:val="00590E50"/>
    <w:rsid w:val="005A1266"/>
    <w:rsid w:val="005A5B07"/>
    <w:rsid w:val="005B1174"/>
    <w:rsid w:val="005D431C"/>
    <w:rsid w:val="005E363C"/>
    <w:rsid w:val="005F0E52"/>
    <w:rsid w:val="00602597"/>
    <w:rsid w:val="00606B8D"/>
    <w:rsid w:val="00663892"/>
    <w:rsid w:val="006822AE"/>
    <w:rsid w:val="00684E9F"/>
    <w:rsid w:val="006D108A"/>
    <w:rsid w:val="006D7231"/>
    <w:rsid w:val="006F605F"/>
    <w:rsid w:val="00700604"/>
    <w:rsid w:val="00701EDA"/>
    <w:rsid w:val="00722AE1"/>
    <w:rsid w:val="007253AC"/>
    <w:rsid w:val="00732372"/>
    <w:rsid w:val="00737F40"/>
    <w:rsid w:val="007400FF"/>
    <w:rsid w:val="00781378"/>
    <w:rsid w:val="00785189"/>
    <w:rsid w:val="007C2A47"/>
    <w:rsid w:val="007C49BA"/>
    <w:rsid w:val="007D6F90"/>
    <w:rsid w:val="007F608C"/>
    <w:rsid w:val="008021D5"/>
    <w:rsid w:val="00817FD0"/>
    <w:rsid w:val="008228D9"/>
    <w:rsid w:val="00823238"/>
    <w:rsid w:val="00831F7C"/>
    <w:rsid w:val="00837800"/>
    <w:rsid w:val="008445D4"/>
    <w:rsid w:val="00851005"/>
    <w:rsid w:val="0087043F"/>
    <w:rsid w:val="008749BC"/>
    <w:rsid w:val="00877B4B"/>
    <w:rsid w:val="00880480"/>
    <w:rsid w:val="00894538"/>
    <w:rsid w:val="00895186"/>
    <w:rsid w:val="00896AC1"/>
    <w:rsid w:val="008A37E9"/>
    <w:rsid w:val="008B322A"/>
    <w:rsid w:val="008B46E0"/>
    <w:rsid w:val="008D77B1"/>
    <w:rsid w:val="008E0E02"/>
    <w:rsid w:val="008E4387"/>
    <w:rsid w:val="008E7E48"/>
    <w:rsid w:val="008F1BE2"/>
    <w:rsid w:val="009033A9"/>
    <w:rsid w:val="00907247"/>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30FC6"/>
    <w:rsid w:val="00A4148F"/>
    <w:rsid w:val="00A53108"/>
    <w:rsid w:val="00A66766"/>
    <w:rsid w:val="00A70A13"/>
    <w:rsid w:val="00A70A57"/>
    <w:rsid w:val="00A81DE6"/>
    <w:rsid w:val="00A8327B"/>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2071"/>
    <w:rsid w:val="00B63DC8"/>
    <w:rsid w:val="00B83A23"/>
    <w:rsid w:val="00BA2C02"/>
    <w:rsid w:val="00BB1B54"/>
    <w:rsid w:val="00C179E1"/>
    <w:rsid w:val="00C352AB"/>
    <w:rsid w:val="00C52486"/>
    <w:rsid w:val="00C57B6D"/>
    <w:rsid w:val="00C71AE5"/>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13B3"/>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0533F"/>
    <w:rsid w:val="00F1048D"/>
    <w:rsid w:val="00F21255"/>
    <w:rsid w:val="00F2751F"/>
    <w:rsid w:val="00F54EFD"/>
    <w:rsid w:val="00F5573C"/>
    <w:rsid w:val="00F615A4"/>
    <w:rsid w:val="00F63D84"/>
    <w:rsid w:val="00F65F3E"/>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A66766"/>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8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brogation@twc.texa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utes.capitol.texas.gov/Docs/LA/htm/LA.352.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C996606A-C351-4D0F-827F-465733D4BA55}">
  <ds:schemaRefs>
    <ds:schemaRef ds:uri="http://schemas.microsoft.com/sharepoint/v3/contenttype/forms"/>
  </ds:schemaRefs>
</ds:datastoreItem>
</file>

<file path=customXml/itemProps2.xml><?xml version="1.0" encoding="utf-8"?>
<ds:datastoreItem xmlns:ds="http://schemas.openxmlformats.org/officeDocument/2006/customXml" ds:itemID="{ED9C2269-AD82-43AB-8C1D-D32D2C39B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83851-D2DA-441F-A577-BA095722DF0B}">
  <ds:schemaRefs>
    <ds:schemaRef ds:uri="6bfde61a-94c1-42db-b4d1-79e5b3c6adc0"/>
    <ds:schemaRef ds:uri="http://schemas.openxmlformats.org/package/2006/metadata/core-properties"/>
    <ds:schemaRef ds:uri="041c5daf-9d3a-4e9a-b660-f4ef0b4e5805"/>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58825e9e-cc90-40c0-979d-f086666194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9 - Subrogation</dc:title>
  <dc:subject/>
  <dc:creator>TWC-VR</dc:creator>
  <cp:keywords>Texas Workforce Commission Vocational Rehabilitation Services Manual (VRSM) policy</cp:keywords>
  <dc:description/>
  <cp:lastModifiedBy>Cooke,Heather J</cp:lastModifiedBy>
  <cp:revision>12</cp:revision>
  <dcterms:created xsi:type="dcterms:W3CDTF">2024-07-24T18:52:00Z</dcterms:created>
  <dcterms:modified xsi:type="dcterms:W3CDTF">2024-08-15T16:50:00Z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