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022EFA1" w:rsidR="002A345C" w:rsidRDefault="006B1B66" w:rsidP="00072906">
      <w:pPr>
        <w:pStyle w:val="Heading1"/>
      </w:pPr>
      <w:r w:rsidRPr="00072906">
        <w:t>PART A, CHAPTER 3.4</w:t>
      </w:r>
      <w:r w:rsidR="00D451D6" w:rsidRPr="00072906">
        <w:t>:</w:t>
      </w:r>
      <w:r w:rsidR="00056138" w:rsidRPr="00072906">
        <w:t xml:space="preserve"> </w:t>
      </w:r>
      <w:r w:rsidR="001D4D49">
        <w:t>VOTER REGISTRATION</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27"/>
        <w:gridCol w:w="1243"/>
        <w:gridCol w:w="1217"/>
      </w:tblGrid>
      <w:tr w:rsidR="00F35D64" w:rsidRPr="00F35D64" w14:paraId="5E1882FD" w14:textId="77777777" w:rsidTr="00AB5851">
        <w:trPr>
          <w:trHeight w:val="312"/>
        </w:trPr>
        <w:tc>
          <w:tcPr>
            <w:tcW w:w="1404" w:type="dxa"/>
            <w:shd w:val="clear" w:color="000000" w:fill="F0F4FA"/>
            <w:noWrap/>
            <w:vAlign w:val="bottom"/>
            <w:hideMark/>
          </w:tcPr>
          <w:p w14:paraId="135A1C19" w14:textId="77777777" w:rsidR="00F35D64" w:rsidRPr="00F35D64" w:rsidRDefault="00F35D64" w:rsidP="00F35D64">
            <w:pPr>
              <w:spacing w:before="0" w:after="0" w:line="240" w:lineRule="auto"/>
              <w:rPr>
                <w:rFonts w:eastAsia="Times New Roman"/>
                <w:b/>
                <w:bCs/>
                <w:color w:val="000000"/>
                <w:kern w:val="0"/>
                <w14:ligatures w14:val="none"/>
              </w:rPr>
            </w:pPr>
            <w:r w:rsidRPr="00F35D64">
              <w:rPr>
                <w:rFonts w:eastAsia="Times New Roman"/>
                <w:b/>
                <w:bCs/>
                <w:color w:val="000000"/>
                <w:kern w:val="0"/>
                <w:lang w:val="en" w:eastAsia="ja-JP"/>
                <w14:ligatures w14:val="none"/>
              </w:rPr>
              <w:t>Policy Number</w:t>
            </w:r>
          </w:p>
        </w:tc>
        <w:tc>
          <w:tcPr>
            <w:tcW w:w="5927" w:type="dxa"/>
            <w:shd w:val="clear" w:color="000000" w:fill="F0F4FA"/>
            <w:noWrap/>
            <w:vAlign w:val="bottom"/>
            <w:hideMark/>
          </w:tcPr>
          <w:p w14:paraId="02F49E69" w14:textId="77777777" w:rsidR="00F35D64" w:rsidRPr="00F35D64" w:rsidRDefault="00F35D64" w:rsidP="00F35D64">
            <w:pPr>
              <w:spacing w:before="0" w:after="0" w:line="240" w:lineRule="auto"/>
              <w:rPr>
                <w:rFonts w:eastAsia="Times New Roman"/>
                <w:b/>
                <w:bCs/>
                <w:color w:val="000000"/>
                <w:kern w:val="0"/>
                <w14:ligatures w14:val="none"/>
              </w:rPr>
            </w:pPr>
            <w:r w:rsidRPr="00F35D64">
              <w:rPr>
                <w:rFonts w:eastAsia="Times New Roman"/>
                <w:b/>
                <w:bCs/>
                <w:color w:val="000000"/>
                <w:kern w:val="0"/>
                <w:lang w:val="en" w:eastAsia="ja-JP"/>
                <w14:ligatures w14:val="none"/>
              </w:rPr>
              <w:t>Authority</w:t>
            </w:r>
          </w:p>
        </w:tc>
        <w:tc>
          <w:tcPr>
            <w:tcW w:w="1243" w:type="dxa"/>
            <w:shd w:val="clear" w:color="000000" w:fill="F0F4FA"/>
            <w:noWrap/>
            <w:vAlign w:val="bottom"/>
            <w:hideMark/>
          </w:tcPr>
          <w:p w14:paraId="7D6DE5E0" w14:textId="77777777" w:rsidR="00F35D64" w:rsidRPr="00F35D64" w:rsidRDefault="00F35D64" w:rsidP="00F35D64">
            <w:pPr>
              <w:spacing w:before="0" w:after="0" w:line="240" w:lineRule="auto"/>
              <w:rPr>
                <w:rFonts w:eastAsia="Times New Roman"/>
                <w:b/>
                <w:bCs/>
                <w:color w:val="000000"/>
                <w:kern w:val="0"/>
                <w14:ligatures w14:val="none"/>
              </w:rPr>
            </w:pPr>
            <w:r w:rsidRPr="00F35D64">
              <w:rPr>
                <w:rFonts w:eastAsia="Times New Roman"/>
                <w:b/>
                <w:bCs/>
                <w:color w:val="000000"/>
                <w:kern w:val="0"/>
                <w:lang w:val="en" w:eastAsia="ja-JP"/>
                <w14:ligatures w14:val="none"/>
              </w:rPr>
              <w:t xml:space="preserve">Scope </w:t>
            </w:r>
          </w:p>
        </w:tc>
        <w:tc>
          <w:tcPr>
            <w:tcW w:w="1217" w:type="dxa"/>
            <w:shd w:val="clear" w:color="000000" w:fill="F0F4FA"/>
            <w:noWrap/>
            <w:vAlign w:val="bottom"/>
            <w:hideMark/>
          </w:tcPr>
          <w:p w14:paraId="7C18CA5E" w14:textId="77777777" w:rsidR="00F35D64" w:rsidRPr="00F35D64" w:rsidRDefault="00F35D64" w:rsidP="00F35D64">
            <w:pPr>
              <w:spacing w:before="0" w:after="0" w:line="240" w:lineRule="auto"/>
              <w:rPr>
                <w:rFonts w:eastAsia="Times New Roman"/>
                <w:b/>
                <w:bCs/>
                <w:color w:val="000000"/>
                <w:kern w:val="0"/>
                <w14:ligatures w14:val="none"/>
              </w:rPr>
            </w:pPr>
            <w:r w:rsidRPr="00F35D64">
              <w:rPr>
                <w:rFonts w:eastAsia="Times New Roman"/>
                <w:b/>
                <w:bCs/>
                <w:color w:val="000000"/>
                <w:kern w:val="0"/>
                <w:lang w:val="en" w:eastAsia="ja-JP"/>
                <w14:ligatures w14:val="none"/>
              </w:rPr>
              <w:t>Effective Date</w:t>
            </w:r>
          </w:p>
        </w:tc>
      </w:tr>
      <w:tr w:rsidR="00574A7F" w:rsidRPr="00F35D64" w14:paraId="48EB7ACB" w14:textId="77777777" w:rsidTr="00AB5851">
        <w:trPr>
          <w:trHeight w:val="300"/>
        </w:trPr>
        <w:tc>
          <w:tcPr>
            <w:tcW w:w="1404" w:type="dxa"/>
            <w:shd w:val="clear" w:color="auto" w:fill="auto"/>
            <w:noWrap/>
            <w:vAlign w:val="bottom"/>
            <w:hideMark/>
          </w:tcPr>
          <w:p w14:paraId="6D661413" w14:textId="77777777" w:rsidR="00574A7F" w:rsidRPr="00F35D64" w:rsidRDefault="00574A7F" w:rsidP="00574A7F">
            <w:pPr>
              <w:spacing w:before="0" w:after="0" w:line="240" w:lineRule="auto"/>
              <w:rPr>
                <w:rFonts w:eastAsia="Times New Roman"/>
                <w:color w:val="000000"/>
                <w:kern w:val="0"/>
                <w14:ligatures w14:val="none"/>
              </w:rPr>
            </w:pPr>
            <w:r w:rsidRPr="00F35D64">
              <w:rPr>
                <w:rFonts w:eastAsia="Times New Roman"/>
                <w:color w:val="000000"/>
                <w:kern w:val="0"/>
                <w:lang w:val="en" w:eastAsia="ja-JP"/>
                <w14:ligatures w14:val="none"/>
              </w:rPr>
              <w:t>Part A, Chapter 3.4</w:t>
            </w:r>
          </w:p>
        </w:tc>
        <w:tc>
          <w:tcPr>
            <w:tcW w:w="5927" w:type="dxa"/>
            <w:shd w:val="clear" w:color="auto" w:fill="auto"/>
            <w:noWrap/>
            <w:vAlign w:val="bottom"/>
            <w:hideMark/>
          </w:tcPr>
          <w:p w14:paraId="001D19E3" w14:textId="5A40A9DD" w:rsidR="00574A7F" w:rsidRPr="00F35D64" w:rsidRDefault="00000000" w:rsidP="00574A7F">
            <w:pPr>
              <w:spacing w:before="0" w:after="0" w:line="240" w:lineRule="auto"/>
              <w:rPr>
                <w:rFonts w:eastAsia="Times New Roman"/>
                <w:color w:val="000000"/>
                <w:kern w:val="0"/>
                <w14:ligatures w14:val="none"/>
              </w:rPr>
            </w:pPr>
            <w:hyperlink r:id="rId10" w:history="1">
              <w:r w:rsidR="00574A7F" w:rsidRPr="009C5DA1">
                <w:rPr>
                  <w:rStyle w:val="Hyperlink"/>
                </w:rPr>
                <w:t>National Voter Registration Act of 1993</w:t>
              </w:r>
            </w:hyperlink>
            <w:r w:rsidR="00574A7F" w:rsidRPr="009C5DA1">
              <w:t xml:space="preserve"> and </w:t>
            </w:r>
            <w:hyperlink r:id="rId11" w:history="1">
              <w:r w:rsidR="00574A7F" w:rsidRPr="009C5DA1">
                <w:rPr>
                  <w:rStyle w:val="Hyperlink"/>
                </w:rPr>
                <w:t>Chapter 20 of the Texas Election Code</w:t>
              </w:r>
            </w:hyperlink>
          </w:p>
        </w:tc>
        <w:tc>
          <w:tcPr>
            <w:tcW w:w="1243" w:type="dxa"/>
            <w:shd w:val="clear" w:color="auto" w:fill="auto"/>
            <w:noWrap/>
            <w:vAlign w:val="bottom"/>
            <w:hideMark/>
          </w:tcPr>
          <w:p w14:paraId="7776CC0A" w14:textId="77777777" w:rsidR="00574A7F" w:rsidRPr="00F35D64" w:rsidRDefault="00574A7F" w:rsidP="00574A7F">
            <w:pPr>
              <w:spacing w:before="0" w:after="0" w:line="240" w:lineRule="auto"/>
              <w:rPr>
                <w:rFonts w:eastAsia="Times New Roman"/>
                <w:color w:val="000000"/>
                <w:kern w:val="0"/>
                <w14:ligatures w14:val="none"/>
              </w:rPr>
            </w:pPr>
            <w:r w:rsidRPr="00F35D64">
              <w:rPr>
                <w:rFonts w:eastAsia="Times New Roman"/>
                <w:color w:val="000000"/>
                <w:kern w:val="0"/>
                <w14:ligatures w14:val="none"/>
              </w:rPr>
              <w:t>All TWC-VR staff</w:t>
            </w:r>
          </w:p>
        </w:tc>
        <w:tc>
          <w:tcPr>
            <w:tcW w:w="1217" w:type="dxa"/>
            <w:shd w:val="clear" w:color="auto" w:fill="auto"/>
            <w:noWrap/>
            <w:vAlign w:val="bottom"/>
            <w:hideMark/>
          </w:tcPr>
          <w:p w14:paraId="237E8CC7" w14:textId="77777777" w:rsidR="00574A7F" w:rsidRPr="00F35D64" w:rsidRDefault="00574A7F" w:rsidP="00AB5851">
            <w:pPr>
              <w:spacing w:before="0" w:after="0" w:line="240" w:lineRule="auto"/>
              <w:rPr>
                <w:rFonts w:eastAsia="Times New Roman"/>
                <w:color w:val="000000"/>
                <w:kern w:val="0"/>
                <w14:ligatures w14:val="none"/>
              </w:rPr>
            </w:pPr>
            <w:r w:rsidRPr="00F35D6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FC58AFE" w14:textId="77777777" w:rsidR="009C5DA1" w:rsidRPr="001947CE" w:rsidRDefault="009C5DA1" w:rsidP="009C5DA1">
      <w:pPr>
        <w:spacing w:after="240"/>
      </w:pPr>
      <w:r w:rsidRPr="001947CE">
        <w:t>Specifically, the purpose of this policy and these procedures is to ensure TWC-VR customers are afforded their basic rights, including the opportunity to exercise their right to vote.</w:t>
      </w:r>
      <w:r w:rsidRPr="001947CE">
        <w:rPr>
          <w:highlight w:val="yellow"/>
        </w:rPr>
        <w:t xml:space="preserve"> </w:t>
      </w:r>
    </w:p>
    <w:p w14:paraId="077D4BD0" w14:textId="0E0D9B4E" w:rsidR="00F04098" w:rsidRDefault="00A001F3" w:rsidP="0033181C">
      <w:pPr>
        <w:pStyle w:val="Heading2"/>
      </w:pPr>
      <w:r>
        <w:t>DEFINITIONS</w:t>
      </w:r>
    </w:p>
    <w:p w14:paraId="3DB60DBA" w14:textId="77777777" w:rsidR="009C5DA1" w:rsidRPr="00B464CD" w:rsidRDefault="009C5DA1" w:rsidP="009C5DA1">
      <w:r w:rsidRPr="00C96046">
        <w:rPr>
          <w:u w:val="single"/>
        </w:rPr>
        <w:t>Informed Choice</w:t>
      </w:r>
      <w:r w:rsidRPr="00C96046">
        <w:t xml:space="preserve">: The means by which a customer chooses their rehabilitation path, from options based on their needs and circumstances and the VR program's rules, as it relates to the right to </w:t>
      </w:r>
      <w:r>
        <w:t xml:space="preserve">vote and </w:t>
      </w:r>
      <w:r w:rsidRPr="00C96046">
        <w:t>assistance with voter registration.</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C678533" w14:textId="77777777" w:rsidR="009C5DA1" w:rsidRDefault="009C5DA1" w:rsidP="009C5DA1">
      <w:pPr>
        <w:autoSpaceDE w:val="0"/>
        <w:autoSpaceDN w:val="0"/>
        <w:adjustRightInd w:val="0"/>
      </w:pPr>
      <w:bookmarkStart w:id="0" w:name="_Hlk172473981"/>
      <w:r w:rsidRPr="00210E9C">
        <w:t xml:space="preserve">TWC-VR customers are afforded certain basic rights, including informed choice, which include the right to assistance with voter registration. TWC-VR is designated by the Secretary of State to provide voter registration services through its VR and Independent Living Services for Older Individuals Who Are Blind (OIB) programs. TWC-VR staff are required to offer customers an opportunity to register to vote when they apply for services or when they report a change of address. </w:t>
      </w:r>
    </w:p>
    <w:p w14:paraId="14EBC4B0" w14:textId="77777777" w:rsidR="009C5DA1" w:rsidRDefault="009C5DA1" w:rsidP="009C5DA1">
      <w:pPr>
        <w:pStyle w:val="Heading3"/>
      </w:pPr>
      <w:r w:rsidRPr="009C5DA1">
        <w:t>Prohibited Factors</w:t>
      </w:r>
    </w:p>
    <w:p w14:paraId="4A6DB298" w14:textId="3F4D5612" w:rsidR="009C5DA1" w:rsidRPr="00BE3652" w:rsidRDefault="009C5DA1" w:rsidP="009C5DA1">
      <w:pPr>
        <w:autoSpaceDE w:val="0"/>
        <w:autoSpaceDN w:val="0"/>
        <w:adjustRightInd w:val="0"/>
      </w:pPr>
      <w:r w:rsidRPr="00BE3652">
        <w:t>TWC-VR staff are prohibited from the following:</w:t>
      </w:r>
    </w:p>
    <w:p w14:paraId="6D694C7B" w14:textId="77777777" w:rsidR="009C5DA1" w:rsidRPr="001947CE" w:rsidRDefault="009C5DA1" w:rsidP="009C5DA1">
      <w:pPr>
        <w:pStyle w:val="ListBulleted"/>
      </w:pPr>
      <w:r w:rsidRPr="001947CE">
        <w:t>Influencing a customer's political preference or party registration;</w:t>
      </w:r>
    </w:p>
    <w:p w14:paraId="7BA7EDA9" w14:textId="77777777" w:rsidR="009C5DA1" w:rsidRPr="001947CE" w:rsidRDefault="009C5DA1" w:rsidP="009C5DA1">
      <w:pPr>
        <w:pStyle w:val="ListBulleted"/>
      </w:pPr>
      <w:r w:rsidRPr="001947CE">
        <w:t>Displaying political preference or party affiliation;</w:t>
      </w:r>
    </w:p>
    <w:p w14:paraId="74556AA5" w14:textId="77777777" w:rsidR="009C5DA1" w:rsidRPr="001947CE" w:rsidRDefault="009C5DA1" w:rsidP="009C5DA1">
      <w:pPr>
        <w:pStyle w:val="ListBulleted"/>
      </w:pPr>
      <w:r w:rsidRPr="001947CE">
        <w:lastRenderedPageBreak/>
        <w:t>Making any statement or taking any action to discourage a customer from registering to vote; and</w:t>
      </w:r>
    </w:p>
    <w:p w14:paraId="0BE93EB2" w14:textId="77777777" w:rsidR="009C5DA1" w:rsidRDefault="009C5DA1" w:rsidP="009C5DA1">
      <w:pPr>
        <w:pStyle w:val="ListBulleted"/>
      </w:pPr>
      <w:r w:rsidRPr="001947CE">
        <w:t xml:space="preserve">Documenting in </w:t>
      </w:r>
      <w:r>
        <w:t xml:space="preserve">the case record </w:t>
      </w:r>
      <w:r w:rsidRPr="001947CE">
        <w:t>any customer response or reaction to being given the opportunity to register to vote.</w:t>
      </w:r>
    </w:p>
    <w:p w14:paraId="2BA8AE1D" w14:textId="77777777" w:rsidR="009C5DA1" w:rsidRDefault="009C5DA1" w:rsidP="009C5DA1">
      <w:pPr>
        <w:pStyle w:val="Heading3"/>
      </w:pPr>
      <w:r w:rsidRPr="009C5DA1">
        <w:t>Elections Division</w:t>
      </w:r>
    </w:p>
    <w:p w14:paraId="0E16E4CB" w14:textId="6739B384" w:rsidR="009C5DA1" w:rsidRDefault="009C5DA1" w:rsidP="009C5DA1">
      <w:pPr>
        <w:autoSpaceDE w:val="0"/>
        <w:autoSpaceDN w:val="0"/>
        <w:adjustRightInd w:val="0"/>
      </w:pPr>
      <w:r w:rsidRPr="00BE3652">
        <w:t>TWC-VR staff must inform customers that they may contact the Texas Secretary of State Elections Division at any time to ask questions or file a complaint, and TWC-VR staff must provide the contact information:</w:t>
      </w:r>
    </w:p>
    <w:p w14:paraId="6496BCD9" w14:textId="77777777" w:rsidR="009C5DA1" w:rsidRDefault="009C5DA1" w:rsidP="009C5DA1">
      <w:pPr>
        <w:ind w:left="720" w:hanging="360"/>
        <w:rPr>
          <w:b/>
          <w:bCs/>
        </w:rPr>
      </w:pPr>
      <w:r w:rsidRPr="009C5DA1">
        <w:rPr>
          <w:b/>
          <w:bCs/>
        </w:rPr>
        <w:t>Elections Division</w:t>
      </w:r>
    </w:p>
    <w:p w14:paraId="1F540715" w14:textId="3B77236C" w:rsidR="009C5DA1" w:rsidRPr="009C5DA1" w:rsidRDefault="009C5DA1" w:rsidP="009C5DA1">
      <w:pPr>
        <w:ind w:left="360"/>
        <w:rPr>
          <w:b/>
          <w:bCs/>
        </w:rPr>
      </w:pPr>
      <w:r w:rsidRPr="001947CE">
        <w:t>Texas Secretary of State</w:t>
      </w:r>
      <w:r>
        <w:br/>
      </w:r>
      <w:r w:rsidRPr="001947CE">
        <w:t>P.O. Box 12060</w:t>
      </w:r>
      <w:r>
        <w:br/>
      </w:r>
      <w:r w:rsidRPr="001947CE">
        <w:t>Austin, Texas 78711-2060</w:t>
      </w:r>
    </w:p>
    <w:p w14:paraId="75A0611B" w14:textId="77777777" w:rsidR="009C5DA1" w:rsidRPr="001947CE" w:rsidRDefault="009C5DA1" w:rsidP="009C5DA1">
      <w:pPr>
        <w:ind w:left="360"/>
      </w:pPr>
      <w:r w:rsidRPr="001947CE">
        <w:t xml:space="preserve">Phone: </w:t>
      </w:r>
      <w:r>
        <w:t>(</w:t>
      </w:r>
      <w:r w:rsidRPr="001947CE">
        <w:t>800</w:t>
      </w:r>
      <w:r>
        <w:t xml:space="preserve">) </w:t>
      </w:r>
      <w:r w:rsidRPr="001947CE">
        <w:t>252-VOTE (8683)</w:t>
      </w:r>
      <w:r>
        <w:br/>
      </w:r>
      <w:r w:rsidRPr="001947CE">
        <w:t xml:space="preserve">Email: </w:t>
      </w:r>
      <w:hyperlink r:id="rId12" w:history="1">
        <w:r w:rsidRPr="009C5DA1">
          <w:rPr>
            <w:color w:val="9F3223" w:themeColor="hyperlink"/>
            <w:u w:val="single"/>
          </w:rPr>
          <w:t>elections@sos.texas.gov</w:t>
        </w:r>
      </w:hyperlink>
      <w:r w:rsidRPr="001947CE">
        <w:t xml:space="preserve"> </w:t>
      </w:r>
      <w:r>
        <w:br/>
      </w:r>
      <w:r w:rsidRPr="001947CE">
        <w:t xml:space="preserve">Website: </w:t>
      </w:r>
      <w:hyperlink r:id="rId13" w:history="1">
        <w:r w:rsidRPr="009C5DA1">
          <w:rPr>
            <w:color w:val="9F3223" w:themeColor="hyperlink"/>
            <w:u w:val="single"/>
          </w:rPr>
          <w:t>https://www.votetexas.gov/</w:t>
        </w:r>
      </w:hyperlink>
    </w:p>
    <w:bookmarkEnd w:id="0"/>
    <w:p w14:paraId="11E48025" w14:textId="511E42FF" w:rsidR="00934027" w:rsidRDefault="00145D80" w:rsidP="00CF06B7">
      <w:pPr>
        <w:pStyle w:val="Heading2"/>
      </w:pPr>
      <w:r>
        <w:t>PROCEDURES</w:t>
      </w:r>
    </w:p>
    <w:p w14:paraId="3BF5E84A" w14:textId="54E65C37" w:rsidR="000538A8" w:rsidRDefault="009C5DA1" w:rsidP="00896AC1">
      <w:pPr>
        <w:pStyle w:val="Heading3"/>
        <w:numPr>
          <w:ilvl w:val="0"/>
          <w:numId w:val="37"/>
        </w:numPr>
      </w:pPr>
      <w:r>
        <w:t>Application for TWC-VR Services</w:t>
      </w:r>
    </w:p>
    <w:p w14:paraId="215D9C7E" w14:textId="77777777" w:rsidR="009C5DA1" w:rsidRPr="001947CE" w:rsidRDefault="009C5DA1" w:rsidP="009C5DA1">
      <w:pPr>
        <w:tabs>
          <w:tab w:val="left" w:pos="720"/>
        </w:tabs>
        <w:spacing w:before="0" w:after="160" w:line="259" w:lineRule="auto"/>
        <w:rPr>
          <w:bCs/>
          <w:szCs w:val="22"/>
          <w:u w:val="single"/>
          <w:lang w:val="en" w:eastAsia="ja-JP"/>
        </w:rPr>
      </w:pPr>
      <w:r w:rsidRPr="001947CE">
        <w:rPr>
          <w:szCs w:val="22"/>
          <w:lang w:val="en" w:eastAsia="ja-JP"/>
        </w:rPr>
        <w:t>During the application for services, TWC-VR staff must—</w:t>
      </w:r>
    </w:p>
    <w:p w14:paraId="1F493EDB" w14:textId="77777777" w:rsidR="009C5DA1" w:rsidRPr="001947CE" w:rsidRDefault="009C5DA1" w:rsidP="009C5DA1">
      <w:pPr>
        <w:pStyle w:val="ListBulleted"/>
        <w:rPr>
          <w:lang w:val="en" w:eastAsia="ja-JP"/>
        </w:rPr>
      </w:pPr>
      <w:r w:rsidRPr="001947CE">
        <w:rPr>
          <w:lang w:val="en" w:eastAsia="ja-JP"/>
        </w:rPr>
        <w:t>Provide a Texas Voter Registration Application to customers of voting age. In Texas, an individual may register to vote when they are at least 17 years and 10 months old, if they will be 18 years of age on Election Day</w:t>
      </w:r>
      <w:r>
        <w:rPr>
          <w:lang w:val="en" w:eastAsia="ja-JP"/>
        </w:rPr>
        <w:t>.</w:t>
      </w:r>
    </w:p>
    <w:p w14:paraId="57FD0A0F" w14:textId="77777777" w:rsidR="009C5DA1" w:rsidRPr="001947CE" w:rsidRDefault="009C5DA1" w:rsidP="009C5DA1">
      <w:pPr>
        <w:pStyle w:val="ListBulleted"/>
        <w:numPr>
          <w:ilvl w:val="1"/>
          <w:numId w:val="35"/>
        </w:numPr>
        <w:rPr>
          <w:bCs/>
          <w:lang w:val="en" w:eastAsia="ja-JP"/>
        </w:rPr>
      </w:pPr>
      <w:r w:rsidRPr="001947CE">
        <w:rPr>
          <w:bCs/>
          <w:lang w:val="en" w:eastAsia="ja-JP"/>
        </w:rPr>
        <w:t>Help the customer complete the Texas Voter Registration Application, if the customer requests assistance;</w:t>
      </w:r>
    </w:p>
    <w:p w14:paraId="2177CBA0" w14:textId="77777777" w:rsidR="009C5DA1" w:rsidRDefault="009C5DA1" w:rsidP="009C5DA1">
      <w:pPr>
        <w:pStyle w:val="ListBulleted"/>
        <w:numPr>
          <w:ilvl w:val="1"/>
          <w:numId w:val="35"/>
        </w:numPr>
        <w:rPr>
          <w:bCs/>
          <w:lang w:val="en" w:eastAsia="ja-JP"/>
        </w:rPr>
      </w:pPr>
      <w:r>
        <w:rPr>
          <w:bCs/>
          <w:lang w:val="en" w:eastAsia="ja-JP"/>
        </w:rPr>
        <w:t>M</w:t>
      </w:r>
      <w:r w:rsidRPr="000C7DD3">
        <w:rPr>
          <w:bCs/>
          <w:lang w:val="en" w:eastAsia="ja-JP"/>
        </w:rPr>
        <w:t>ail the completed application within five calendar days of recei</w:t>
      </w:r>
      <w:r>
        <w:rPr>
          <w:bCs/>
          <w:lang w:val="en" w:eastAsia="ja-JP"/>
        </w:rPr>
        <w:t>pt</w:t>
      </w:r>
      <w:r w:rsidRPr="000C7DD3">
        <w:rPr>
          <w:bCs/>
          <w:lang w:val="en" w:eastAsia="ja-JP"/>
        </w:rPr>
        <w:t>, unless the customer declines assistance</w:t>
      </w:r>
      <w:r>
        <w:rPr>
          <w:bCs/>
          <w:lang w:val="en" w:eastAsia="ja-JP"/>
        </w:rPr>
        <w:t>. If the customer</w:t>
      </w:r>
      <w:r w:rsidRPr="000C7DD3">
        <w:rPr>
          <w:bCs/>
          <w:lang w:val="en" w:eastAsia="ja-JP"/>
        </w:rPr>
        <w:t xml:space="preserve"> indicates they wish to submit the application </w:t>
      </w:r>
      <w:r>
        <w:rPr>
          <w:bCs/>
          <w:lang w:val="en" w:eastAsia="ja-JP"/>
        </w:rPr>
        <w:t xml:space="preserve">themselves </w:t>
      </w:r>
      <w:r w:rsidRPr="000C7DD3">
        <w:rPr>
          <w:bCs/>
          <w:lang w:val="en" w:eastAsia="ja-JP"/>
        </w:rPr>
        <w:t>or take the blank application form</w:t>
      </w:r>
      <w:r>
        <w:rPr>
          <w:bCs/>
          <w:lang w:val="en" w:eastAsia="ja-JP"/>
        </w:rPr>
        <w:t>,</w:t>
      </w:r>
      <w:r w:rsidRPr="000C7DD3">
        <w:rPr>
          <w:bCs/>
          <w:lang w:val="en" w:eastAsia="ja-JP"/>
        </w:rPr>
        <w:t xml:space="preserve"> </w:t>
      </w:r>
      <w:r>
        <w:rPr>
          <w:bCs/>
          <w:lang w:val="en" w:eastAsia="ja-JP"/>
        </w:rPr>
        <w:t xml:space="preserve">provide them the information for mailing directly to </w:t>
      </w:r>
      <w:r w:rsidRPr="000C7DD3">
        <w:rPr>
          <w:bCs/>
          <w:lang w:val="en" w:eastAsia="ja-JP"/>
        </w:rPr>
        <w:t xml:space="preserve">the voter registrar or </w:t>
      </w:r>
      <w:r>
        <w:rPr>
          <w:bCs/>
          <w:lang w:val="en" w:eastAsia="ja-JP"/>
        </w:rPr>
        <w:t>subm</w:t>
      </w:r>
      <w:r w:rsidRPr="000C7DD3">
        <w:rPr>
          <w:bCs/>
          <w:lang w:val="en" w:eastAsia="ja-JP"/>
        </w:rPr>
        <w:t xml:space="preserve">it </w:t>
      </w:r>
      <w:r>
        <w:rPr>
          <w:bCs/>
          <w:lang w:val="en" w:eastAsia="ja-JP"/>
        </w:rPr>
        <w:t xml:space="preserve">the </w:t>
      </w:r>
      <w:r w:rsidRPr="000C7DD3">
        <w:rPr>
          <w:bCs/>
          <w:lang w:val="en" w:eastAsia="ja-JP"/>
        </w:rPr>
        <w:t xml:space="preserve">application online at </w:t>
      </w:r>
      <w:hyperlink r:id="rId14" w:history="1">
        <w:r w:rsidRPr="001F421E">
          <w:rPr>
            <w:rStyle w:val="Hyperlink"/>
            <w:bCs/>
            <w:szCs w:val="22"/>
            <w:lang w:val="en" w:eastAsia="ja-JP"/>
          </w:rPr>
          <w:t>https://vrapp.sos.state.tx.us/</w:t>
        </w:r>
      </w:hyperlink>
      <w:r w:rsidRPr="000C7DD3">
        <w:rPr>
          <w:bCs/>
          <w:lang w:val="en" w:eastAsia="ja-JP"/>
        </w:rPr>
        <w:t>; and</w:t>
      </w:r>
    </w:p>
    <w:p w14:paraId="0BCB7B5D" w14:textId="77777777" w:rsidR="009C5DA1" w:rsidRPr="000C7DD3" w:rsidRDefault="009C5DA1" w:rsidP="009C5DA1">
      <w:pPr>
        <w:pStyle w:val="ListBulleted"/>
        <w:numPr>
          <w:ilvl w:val="1"/>
          <w:numId w:val="35"/>
        </w:numPr>
        <w:rPr>
          <w:bCs/>
          <w:lang w:val="en" w:eastAsia="ja-JP"/>
        </w:rPr>
      </w:pPr>
      <w:r w:rsidRPr="000C7DD3">
        <w:rPr>
          <w:bCs/>
          <w:lang w:val="en" w:eastAsia="ja-JP"/>
        </w:rPr>
        <w:t>Document that voter registration services were provided to the customer by completing the Opportunity to Register to Vote page in RHW</w:t>
      </w:r>
      <w:r>
        <w:rPr>
          <w:bCs/>
          <w:lang w:val="en" w:eastAsia="ja-JP"/>
        </w:rPr>
        <w:t>;</w:t>
      </w:r>
      <w:r w:rsidRPr="000C7DD3">
        <w:rPr>
          <w:bCs/>
          <w:lang w:val="en" w:eastAsia="ja-JP"/>
        </w:rPr>
        <w:t xml:space="preserve"> or</w:t>
      </w:r>
    </w:p>
    <w:p w14:paraId="18486825" w14:textId="77777777" w:rsidR="009C5DA1" w:rsidRDefault="009C5DA1" w:rsidP="009C5DA1">
      <w:pPr>
        <w:pStyle w:val="ListBulleted"/>
        <w:numPr>
          <w:ilvl w:val="1"/>
          <w:numId w:val="35"/>
        </w:numPr>
        <w:rPr>
          <w:bCs/>
          <w:lang w:val="en" w:eastAsia="ja-JP"/>
        </w:rPr>
      </w:pPr>
      <w:r w:rsidRPr="001947CE">
        <w:rPr>
          <w:bCs/>
          <w:lang w:val="en" w:eastAsia="ja-JP"/>
        </w:rPr>
        <w:t>Complete </w:t>
      </w:r>
      <w:r w:rsidRPr="00C96046">
        <w:rPr>
          <w:bCs/>
          <w:i/>
          <w:iCs/>
          <w:lang w:val="en" w:eastAsia="ja-JP"/>
        </w:rPr>
        <w:t>Opportunity to Register to Vote (VR1680</w:t>
      </w:r>
      <w:r w:rsidRPr="001947CE">
        <w:rPr>
          <w:bCs/>
          <w:i/>
          <w:iCs/>
          <w:lang w:val="en" w:eastAsia="ja-JP"/>
        </w:rPr>
        <w:t>)</w:t>
      </w:r>
      <w:r>
        <w:rPr>
          <w:bCs/>
          <w:i/>
          <w:iCs/>
          <w:lang w:val="en" w:eastAsia="ja-JP"/>
        </w:rPr>
        <w:t xml:space="preserve"> </w:t>
      </w:r>
      <w:r w:rsidRPr="00F85046">
        <w:rPr>
          <w:bCs/>
          <w:lang w:val="en" w:eastAsia="ja-JP"/>
        </w:rPr>
        <w:t>and</w:t>
      </w:r>
      <w:r w:rsidRPr="001947CE">
        <w:rPr>
          <w:bCs/>
          <w:lang w:val="en" w:eastAsia="ja-JP"/>
        </w:rPr>
        <w:t xml:space="preserve"> obtain the customer's signature in the event that RHW is unavailable. If the customer refuses to sign, </w:t>
      </w:r>
      <w:r w:rsidRPr="00C96046">
        <w:rPr>
          <w:bCs/>
          <w:lang w:val="en" w:eastAsia="ja-JP"/>
        </w:rPr>
        <w:lastRenderedPageBreak/>
        <w:t>TWC-VR staff will check the appropriate box</w:t>
      </w:r>
      <w:r w:rsidRPr="001947CE">
        <w:rPr>
          <w:bCs/>
          <w:lang w:val="en" w:eastAsia="ja-JP"/>
        </w:rPr>
        <w:t xml:space="preserve">. For additional information about completing this form, refer to Instructions for the </w:t>
      </w:r>
      <w:r w:rsidRPr="00C96046">
        <w:rPr>
          <w:bCs/>
          <w:i/>
          <w:iCs/>
          <w:lang w:val="en" w:eastAsia="ja-JP"/>
        </w:rPr>
        <w:t>Opportunity to Register to Vote (VR1680INST)</w:t>
      </w:r>
      <w:r w:rsidRPr="00C96046">
        <w:rPr>
          <w:bCs/>
          <w:lang w:val="en" w:eastAsia="ja-JP"/>
        </w:rPr>
        <w:t>.</w:t>
      </w:r>
    </w:p>
    <w:p w14:paraId="2CD00040" w14:textId="650353B5" w:rsidR="009C5DA1" w:rsidRPr="00F25680" w:rsidRDefault="009C5DA1" w:rsidP="009C5DA1">
      <w:pPr>
        <w:pStyle w:val="Heading3"/>
        <w:rPr>
          <w:lang w:eastAsia="ja-JP"/>
        </w:rPr>
      </w:pPr>
      <w:bookmarkStart w:id="1" w:name="_Toc155865036"/>
      <w:r w:rsidRPr="001947CE">
        <w:rPr>
          <w:lang w:val="en" w:eastAsia="ja-JP"/>
        </w:rPr>
        <w:t>Change of Address</w:t>
      </w:r>
      <w:bookmarkEnd w:id="1"/>
    </w:p>
    <w:p w14:paraId="42A6628E" w14:textId="77777777" w:rsidR="009C5DA1" w:rsidRPr="00F25680" w:rsidRDefault="009C5DA1" w:rsidP="009C5DA1">
      <w:pPr>
        <w:pStyle w:val="ListParagraph"/>
        <w:rPr>
          <w:bCs/>
          <w:lang w:eastAsia="ja-JP"/>
        </w:rPr>
      </w:pPr>
      <w:r w:rsidRPr="00F25680">
        <w:rPr>
          <w:bCs/>
          <w:u w:val="single"/>
          <w:lang w:val="en" w:eastAsia="ja-JP"/>
        </w:rPr>
        <w:t>In-Person</w:t>
      </w:r>
      <w:r>
        <w:rPr>
          <w:lang w:val="en" w:eastAsia="ja-JP"/>
        </w:rPr>
        <w:t xml:space="preserve">: </w:t>
      </w:r>
      <w:r w:rsidRPr="001947CE">
        <w:rPr>
          <w:lang w:val="en" w:eastAsia="ja-JP"/>
        </w:rPr>
        <w:t xml:space="preserve">When a customer reports a change of address in-person, TWC-VR staff must follow the procedure used for the application for voter registration above. </w:t>
      </w:r>
    </w:p>
    <w:p w14:paraId="041FAA1F" w14:textId="77777777" w:rsidR="009C5DA1" w:rsidRDefault="009C5DA1" w:rsidP="009C5DA1">
      <w:pPr>
        <w:pStyle w:val="ListParagraph"/>
        <w:rPr>
          <w:bCs/>
          <w:lang w:eastAsia="ja-JP"/>
        </w:rPr>
      </w:pPr>
      <w:r>
        <w:rPr>
          <w:bCs/>
          <w:u w:val="single"/>
          <w:lang w:val="en" w:eastAsia="ja-JP"/>
        </w:rPr>
        <w:t>Remote</w:t>
      </w:r>
      <w:r w:rsidRPr="00F25680">
        <w:rPr>
          <w:bCs/>
          <w:lang w:val="en" w:eastAsia="ja-JP"/>
        </w:rPr>
        <w:t>:</w:t>
      </w:r>
      <w:r>
        <w:rPr>
          <w:bCs/>
          <w:lang w:val="en" w:eastAsia="ja-JP"/>
        </w:rPr>
        <w:t xml:space="preserve"> W</w:t>
      </w:r>
      <w:bookmarkStart w:id="2" w:name="_Toc155865037"/>
      <w:r w:rsidRPr="009B296D">
        <w:rPr>
          <w:lang w:val="en" w:eastAsia="ja-JP"/>
        </w:rPr>
        <w:t xml:space="preserve">hen a customer reports a change of address by phone, email, or other communication, </w:t>
      </w:r>
      <w:r>
        <w:rPr>
          <w:lang w:val="en" w:eastAsia="ja-JP"/>
        </w:rPr>
        <w:t>TWC-</w:t>
      </w:r>
      <w:r w:rsidRPr="009B296D">
        <w:rPr>
          <w:lang w:val="en" w:eastAsia="ja-JP"/>
        </w:rPr>
        <w:t>VR staff are still required to follow the procedures for voter registration</w:t>
      </w:r>
      <w:r>
        <w:rPr>
          <w:lang w:val="en" w:eastAsia="ja-JP"/>
        </w:rPr>
        <w:t>;</w:t>
      </w:r>
      <w:r w:rsidRPr="009B296D">
        <w:rPr>
          <w:lang w:val="en" w:eastAsia="ja-JP"/>
        </w:rPr>
        <w:t xml:space="preserve"> however</w:t>
      </w:r>
      <w:r>
        <w:rPr>
          <w:lang w:val="en" w:eastAsia="ja-JP"/>
        </w:rPr>
        <w:t>,</w:t>
      </w:r>
      <w:r w:rsidRPr="009B296D">
        <w:rPr>
          <w:lang w:val="en" w:eastAsia="ja-JP"/>
        </w:rPr>
        <w:t xml:space="preserve"> </w:t>
      </w:r>
      <w:r>
        <w:rPr>
          <w:lang w:val="en" w:eastAsia="ja-JP"/>
        </w:rPr>
        <w:t xml:space="preserve">obtaining the </w:t>
      </w:r>
      <w:r w:rsidRPr="009B296D">
        <w:rPr>
          <w:lang w:val="en" w:eastAsia="ja-JP"/>
        </w:rPr>
        <w:t xml:space="preserve">customer's signature on </w:t>
      </w:r>
      <w:r w:rsidRPr="00C96046">
        <w:rPr>
          <w:i/>
          <w:iCs/>
          <w:lang w:val="en" w:eastAsia="ja-JP"/>
        </w:rPr>
        <w:t>VR1680</w:t>
      </w:r>
      <w:r>
        <w:rPr>
          <w:i/>
          <w:iCs/>
          <w:lang w:val="en" w:eastAsia="ja-JP"/>
        </w:rPr>
        <w:t xml:space="preserve"> </w:t>
      </w:r>
      <w:r>
        <w:rPr>
          <w:lang w:val="en" w:eastAsia="ja-JP"/>
        </w:rPr>
        <w:t>is not required</w:t>
      </w:r>
      <w:r w:rsidRPr="009B296D">
        <w:rPr>
          <w:i/>
          <w:iCs/>
          <w:lang w:val="en" w:eastAsia="ja-JP"/>
        </w:rPr>
        <w:t>.</w:t>
      </w:r>
    </w:p>
    <w:p w14:paraId="4DCE1425" w14:textId="77777777" w:rsidR="009C5DA1" w:rsidRDefault="009C5DA1" w:rsidP="009C5DA1">
      <w:pPr>
        <w:pStyle w:val="ListParagraph"/>
        <w:numPr>
          <w:ilvl w:val="0"/>
          <w:numId w:val="0"/>
        </w:numPr>
        <w:ind w:left="720"/>
        <w:rPr>
          <w:bCs/>
          <w:lang w:eastAsia="ja-JP"/>
        </w:rPr>
      </w:pPr>
      <w:r w:rsidRPr="00F25680">
        <w:rPr>
          <w:lang w:val="en" w:eastAsia="ja-JP"/>
        </w:rPr>
        <w:t>TWC-VR staff must then—</w:t>
      </w:r>
    </w:p>
    <w:p w14:paraId="75E7A1B6" w14:textId="77777777" w:rsidR="009C5DA1" w:rsidRDefault="009C5DA1" w:rsidP="009C5DA1">
      <w:pPr>
        <w:pStyle w:val="ListParagraph"/>
        <w:numPr>
          <w:ilvl w:val="1"/>
          <w:numId w:val="43"/>
        </w:numPr>
        <w:rPr>
          <w:bCs/>
          <w:lang w:eastAsia="ja-JP"/>
        </w:rPr>
      </w:pPr>
      <w:r>
        <w:t>M</w:t>
      </w:r>
      <w:r w:rsidRPr="00DC6ABA">
        <w:t xml:space="preserve">ail a Texas Voter Registration Application and </w:t>
      </w:r>
      <w:r w:rsidRPr="00C96046">
        <w:rPr>
          <w:i/>
          <w:iCs/>
        </w:rPr>
        <w:t>Texas Voter Registration Application Letter (VR1681</w:t>
      </w:r>
      <w:r w:rsidRPr="00F25680">
        <w:rPr>
          <w:i/>
          <w:iCs/>
        </w:rPr>
        <w:t>)</w:t>
      </w:r>
      <w:r w:rsidRPr="00B3267A">
        <w:t xml:space="preserve"> </w:t>
      </w:r>
      <w:r w:rsidRPr="00DC6ABA">
        <w:t>to customers who are of voting age;</w:t>
      </w:r>
    </w:p>
    <w:p w14:paraId="5233ADE4" w14:textId="77777777" w:rsidR="009C5DA1" w:rsidRDefault="009C5DA1" w:rsidP="009C5DA1">
      <w:pPr>
        <w:pStyle w:val="ListParagraph"/>
        <w:numPr>
          <w:ilvl w:val="1"/>
          <w:numId w:val="43"/>
        </w:numPr>
        <w:rPr>
          <w:bCs/>
          <w:lang w:eastAsia="ja-JP"/>
        </w:rPr>
      </w:pPr>
      <w:r>
        <w:t>Assist</w:t>
      </w:r>
      <w:r w:rsidRPr="00DC6ABA">
        <w:t xml:space="preserve"> the customer </w:t>
      </w:r>
      <w:r>
        <w:t xml:space="preserve">with </w:t>
      </w:r>
      <w:r w:rsidRPr="00DC6ABA">
        <w:t>complet</w:t>
      </w:r>
      <w:r>
        <w:t>ing</w:t>
      </w:r>
      <w:r w:rsidRPr="00DC6ABA">
        <w:t xml:space="preserve"> the Texas Voter Registration Application, if the customer requests assistance; and</w:t>
      </w:r>
    </w:p>
    <w:p w14:paraId="23A2D786" w14:textId="77777777" w:rsidR="009C5DA1" w:rsidRPr="00F25680" w:rsidRDefault="009C5DA1" w:rsidP="009C5DA1">
      <w:pPr>
        <w:pStyle w:val="ListParagraph"/>
        <w:numPr>
          <w:ilvl w:val="1"/>
          <w:numId w:val="43"/>
        </w:numPr>
        <w:rPr>
          <w:bCs/>
          <w:lang w:eastAsia="ja-JP"/>
        </w:rPr>
      </w:pPr>
      <w:r>
        <w:t>D</w:t>
      </w:r>
      <w:r w:rsidRPr="00DC6ABA">
        <w:t>ocument that voter registration services were provided to the customer by completing the Opportunity to Register to Vote page on the Personal Information page in RHW.</w:t>
      </w:r>
    </w:p>
    <w:p w14:paraId="017DB20E" w14:textId="77777777" w:rsidR="00567559" w:rsidRPr="00567559" w:rsidRDefault="009C5DA1" w:rsidP="00567559">
      <w:pPr>
        <w:pStyle w:val="Heading3"/>
        <w:rPr>
          <w:lang w:eastAsia="ja-JP"/>
        </w:rPr>
      </w:pPr>
      <w:r w:rsidRPr="001947CE">
        <w:rPr>
          <w:lang w:val="en" w:eastAsia="ja-JP"/>
        </w:rPr>
        <w:t>Declination to Register</w:t>
      </w:r>
      <w:bookmarkEnd w:id="2"/>
    </w:p>
    <w:p w14:paraId="39330566" w14:textId="7880D524" w:rsidR="009C5DA1" w:rsidRDefault="009C5DA1" w:rsidP="00567559">
      <w:pPr>
        <w:tabs>
          <w:tab w:val="left" w:pos="720"/>
        </w:tabs>
        <w:spacing w:before="0" w:after="160" w:line="259" w:lineRule="auto"/>
        <w:rPr>
          <w:bCs/>
          <w:szCs w:val="22"/>
          <w:lang w:eastAsia="ja-JP"/>
        </w:rPr>
      </w:pPr>
      <w:r w:rsidRPr="001947CE">
        <w:rPr>
          <w:bCs/>
          <w:szCs w:val="22"/>
          <w:lang w:eastAsia="ja-JP"/>
        </w:rPr>
        <w:t xml:space="preserve">For customers not wishing to complete a voter registration application form, TWC-VR staff check the appropriate box in RHW. If the system is not available, complete </w:t>
      </w:r>
      <w:r w:rsidRPr="00273C05">
        <w:rPr>
          <w:bCs/>
          <w:i/>
          <w:iCs/>
          <w:szCs w:val="22"/>
          <w:lang w:eastAsia="ja-JP"/>
        </w:rPr>
        <w:t>VR1680</w:t>
      </w:r>
      <w:r w:rsidRPr="001947CE">
        <w:rPr>
          <w:bCs/>
          <w:szCs w:val="22"/>
          <w:lang w:eastAsia="ja-JP"/>
        </w:rPr>
        <w:t xml:space="preserve"> and obtain the customer’s signature. If the customer refuses to sign, the TWC-VR staff member will check the appropriate box.</w:t>
      </w:r>
    </w:p>
    <w:p w14:paraId="7562EC19" w14:textId="77777777" w:rsidR="009C5DA1" w:rsidRPr="00F85046" w:rsidRDefault="009C5DA1" w:rsidP="00567559">
      <w:pPr>
        <w:tabs>
          <w:tab w:val="left" w:pos="720"/>
        </w:tabs>
        <w:spacing w:before="0" w:after="160" w:line="259" w:lineRule="auto"/>
        <w:rPr>
          <w:bCs/>
          <w:szCs w:val="22"/>
          <w:lang w:eastAsia="ja-JP"/>
        </w:rPr>
      </w:pPr>
      <w:r w:rsidRPr="00F85046">
        <w:rPr>
          <w:bCs/>
          <w:szCs w:val="22"/>
          <w:lang w:eastAsia="ja-JP"/>
        </w:rPr>
        <w:t>TWC-VR must preserve each declination for at least 22 months after the date of signing, in the customer</w:t>
      </w:r>
      <w:r>
        <w:rPr>
          <w:bCs/>
          <w:szCs w:val="22"/>
          <w:lang w:eastAsia="ja-JP"/>
        </w:rPr>
        <w:t>'</w:t>
      </w:r>
      <w:r w:rsidRPr="00F85046">
        <w:rPr>
          <w:bCs/>
          <w:szCs w:val="22"/>
          <w:lang w:eastAsia="ja-JP"/>
        </w:rPr>
        <w:t>s case file.</w:t>
      </w:r>
    </w:p>
    <w:p w14:paraId="424771A3" w14:textId="5817096D" w:rsidR="00145D80" w:rsidRDefault="009033A9" w:rsidP="00DF5CB7">
      <w:pPr>
        <w:pStyle w:val="Heading2"/>
      </w:pPr>
      <w:r>
        <w:t>APPROVALS &amp; CONSULTATIONS</w:t>
      </w:r>
    </w:p>
    <w:p w14:paraId="3018B412" w14:textId="1AF57AAA" w:rsidR="009033A9" w:rsidRPr="00E57035" w:rsidRDefault="00A70A57" w:rsidP="00567559">
      <w:r w:rsidRPr="00E57035">
        <w:t>There are no approvals or consultations for this policy and these procedures</w:t>
      </w:r>
      <w:r w:rsidR="00133CB2" w:rsidRPr="00E57035">
        <w:t>.</w:t>
      </w:r>
    </w:p>
    <w:p w14:paraId="5C60C047" w14:textId="77777777" w:rsidR="006E5210" w:rsidRPr="009D5287" w:rsidRDefault="006E5210" w:rsidP="006E5210">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06BD4428" w14:textId="77777777" w:rsidR="006E5210" w:rsidRPr="009D5287" w:rsidRDefault="006E5210" w:rsidP="006E521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6E5210" w:rsidRPr="009D5287" w14:paraId="3A88FF22" w14:textId="77777777" w:rsidTr="004E2DF6">
        <w:tc>
          <w:tcPr>
            <w:tcW w:w="1861" w:type="dxa"/>
            <w:shd w:val="clear" w:color="auto" w:fill="F0F4FA" w:themeFill="accent4"/>
            <w:vAlign w:val="center"/>
          </w:tcPr>
          <w:p w14:paraId="25EC5646" w14:textId="77777777" w:rsidR="006E5210" w:rsidRPr="009D5287" w:rsidRDefault="006E5210"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76B6878E" w14:textId="77777777" w:rsidR="006E5210" w:rsidRPr="009D5287" w:rsidRDefault="006E5210" w:rsidP="004E2DF6">
            <w:pPr>
              <w:rPr>
                <w:b/>
                <w:lang w:val="en" w:eastAsia="ja-JP"/>
              </w:rPr>
            </w:pPr>
            <w:r w:rsidRPr="009D5287">
              <w:rPr>
                <w:b/>
                <w:lang w:val="en" w:eastAsia="ja-JP"/>
              </w:rPr>
              <w:t>Type</w:t>
            </w:r>
          </w:p>
        </w:tc>
        <w:tc>
          <w:tcPr>
            <w:tcW w:w="7350" w:type="dxa"/>
            <w:shd w:val="clear" w:color="auto" w:fill="F0F4FA" w:themeFill="accent4"/>
            <w:vAlign w:val="center"/>
          </w:tcPr>
          <w:p w14:paraId="537B4167" w14:textId="77777777" w:rsidR="006E5210" w:rsidRPr="009D5287" w:rsidRDefault="006E5210" w:rsidP="004E2DF6">
            <w:pPr>
              <w:rPr>
                <w:b/>
                <w:lang w:val="en" w:eastAsia="ja-JP"/>
              </w:rPr>
            </w:pPr>
            <w:r w:rsidRPr="009D5287">
              <w:rPr>
                <w:b/>
                <w:lang w:val="en" w:eastAsia="ja-JP"/>
              </w:rPr>
              <w:t>Change Description</w:t>
            </w:r>
          </w:p>
        </w:tc>
      </w:tr>
      <w:tr w:rsidR="006E5210" w:rsidRPr="009D5287" w14:paraId="30942717" w14:textId="77777777" w:rsidTr="004E2DF6">
        <w:tc>
          <w:tcPr>
            <w:tcW w:w="1861" w:type="dxa"/>
          </w:tcPr>
          <w:p w14:paraId="34B098B7" w14:textId="77777777" w:rsidR="006E5210" w:rsidRPr="009D5287" w:rsidRDefault="006E5210"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lastRenderedPageBreak/>
              <w:t>9/3/2024</w:t>
            </w:r>
          </w:p>
        </w:tc>
        <w:tc>
          <w:tcPr>
            <w:tcW w:w="1003" w:type="dxa"/>
          </w:tcPr>
          <w:p w14:paraId="75DF6464" w14:textId="77777777" w:rsidR="006E5210" w:rsidRPr="009D5287" w:rsidRDefault="006E5210" w:rsidP="004E2DF6">
            <w:r w:rsidRPr="009D5287">
              <w:t>New</w:t>
            </w:r>
          </w:p>
        </w:tc>
        <w:tc>
          <w:tcPr>
            <w:tcW w:w="7350" w:type="dxa"/>
          </w:tcPr>
          <w:p w14:paraId="161B4E36" w14:textId="77777777" w:rsidR="006E5210" w:rsidRPr="009D5287" w:rsidRDefault="006E5210" w:rsidP="004E2DF6">
            <w:pPr>
              <w:rPr>
                <w:lang w:val="en" w:eastAsia="ja-JP"/>
              </w:rPr>
            </w:pPr>
            <w:r w:rsidRPr="009D5287">
              <w:t>VRSM Policy and Procedure Rewrite</w:t>
            </w:r>
          </w:p>
        </w:tc>
      </w:tr>
    </w:tbl>
    <w:p w14:paraId="5EB73B5E" w14:textId="2E259507"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CF07" w14:textId="77777777" w:rsidR="00995882" w:rsidRDefault="00995882" w:rsidP="00895186">
      <w:r>
        <w:separator/>
      </w:r>
    </w:p>
  </w:endnote>
  <w:endnote w:type="continuationSeparator" w:id="0">
    <w:p w14:paraId="0ABE6CD6" w14:textId="77777777" w:rsidR="00995882" w:rsidRDefault="00995882" w:rsidP="00895186">
      <w:r>
        <w:continuationSeparator/>
      </w:r>
    </w:p>
  </w:endnote>
  <w:endnote w:type="continuationNotice" w:id="1">
    <w:p w14:paraId="39AD404F" w14:textId="77777777" w:rsidR="00995882" w:rsidRDefault="009958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675718A" w:rsidR="00B24E6C" w:rsidRDefault="006B1B66" w:rsidP="00895186">
    <w:pPr>
      <w:pStyle w:val="Footer"/>
    </w:pPr>
    <w:r>
      <w:rPr>
        <w:noProof/>
      </w:rPr>
      <mc:AlternateContent>
        <mc:Choice Requires="wps">
          <w:drawing>
            <wp:anchor distT="0" distB="0" distL="114300" distR="114300" simplePos="0" relativeHeight="251658242" behindDoc="0" locked="0" layoutInCell="1" allowOverlap="1" wp14:anchorId="00B0B3F3" wp14:editId="4FFA31D4">
              <wp:simplePos x="0" y="0"/>
              <wp:positionH relativeFrom="column">
                <wp:posOffset>-374015</wp:posOffset>
              </wp:positionH>
              <wp:positionV relativeFrom="paragraph">
                <wp:posOffset>5715</wp:posOffset>
              </wp:positionV>
              <wp:extent cx="42170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17035" cy="488950"/>
                      </a:xfrm>
                      <a:prstGeom prst="rect">
                        <a:avLst/>
                      </a:prstGeom>
                      <a:noFill/>
                      <a:ln w="6350">
                        <a:noFill/>
                      </a:ln>
                    </wps:spPr>
                    <wps:txbx>
                      <w:txbxContent>
                        <w:p w14:paraId="25686EF3" w14:textId="629174E7" w:rsidR="00501E08" w:rsidRPr="00501E08" w:rsidRDefault="006B1B66" w:rsidP="00895186">
                          <w:r>
                            <w:t xml:space="preserve">Part A, Chapter </w:t>
                          </w:r>
                          <w:r w:rsidRPr="006B1B66">
                            <w:t>3.4</w:t>
                          </w:r>
                          <w:r>
                            <w:t xml:space="preserve">: </w:t>
                          </w:r>
                          <w:r w:rsidRPr="006B1B66">
                            <w:t>Voter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32.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KeFwIAACw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" filled="f" stroked="f" strokeweight=".5pt">
              <v:textbox>
                <w:txbxContent>
                  <w:p w14:paraId="25686EF3" w14:textId="629174E7" w:rsidR="00501E08" w:rsidRPr="00501E08" w:rsidRDefault="006B1B66" w:rsidP="00895186">
                    <w:r>
                      <w:t xml:space="preserve">Part A, Chapter </w:t>
                    </w:r>
                    <w:r w:rsidRPr="006B1B66">
                      <w:t>3.4</w:t>
                    </w:r>
                    <w:r>
                      <w:t xml:space="preserve">: </w:t>
                    </w:r>
                    <w:r w:rsidRPr="006B1B66">
                      <w:t>Voter Registration</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D58FB6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CF1B" w14:textId="77777777" w:rsidR="00995882" w:rsidRDefault="00995882" w:rsidP="00895186">
      <w:r>
        <w:separator/>
      </w:r>
    </w:p>
  </w:footnote>
  <w:footnote w:type="continuationSeparator" w:id="0">
    <w:p w14:paraId="7AD6DF0E" w14:textId="77777777" w:rsidR="00995882" w:rsidRDefault="00995882" w:rsidP="00895186">
      <w:r>
        <w:continuationSeparator/>
      </w:r>
    </w:p>
  </w:footnote>
  <w:footnote w:type="continuationNotice" w:id="1">
    <w:p w14:paraId="20C235BD" w14:textId="77777777" w:rsidR="00995882" w:rsidRDefault="009958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31AF4"/>
    <w:multiLevelType w:val="hybridMultilevel"/>
    <w:tmpl w:val="CC160A4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BF25770"/>
    <w:multiLevelType w:val="multilevel"/>
    <w:tmpl w:val="1EFAAE44"/>
    <w:lvl w:ilvl="0">
      <w:start w:val="1"/>
      <w:numFmt w:val="upperLetter"/>
      <w:lvlText w:val="%1."/>
      <w:lvlJc w:val="right"/>
      <w:pPr>
        <w:ind w:left="504" w:hanging="144"/>
      </w:pPr>
      <w:rPr>
        <w:rFonts w:ascii="Verdana" w:eastAsia="Times New Roman" w:hAnsi="Verdana" w:cs="Calibri" w:hint="default"/>
        <w:b w:val="0"/>
        <w:bCs w:val="0"/>
      </w:rPr>
    </w:lvl>
    <w:lvl w:ilvl="1">
      <w:start w:val="1"/>
      <w:numFmt w:val="decimal"/>
      <w:lvlText w:val="%2."/>
      <w:lvlJc w:val="left"/>
      <w:pPr>
        <w:ind w:left="1224" w:hanging="504"/>
      </w:pPr>
      <w:rPr>
        <w:rFonts w:hint="default"/>
      </w:rPr>
    </w:lvl>
    <w:lvl w:ilvl="2">
      <w:start w:val="1"/>
      <w:numFmt w:val="lowerLetter"/>
      <w:lvlText w:val="%3."/>
      <w:lvlJc w:val="left"/>
      <w:pPr>
        <w:ind w:left="1800" w:hanging="504"/>
      </w:pPr>
      <w:rPr>
        <w:rFonts w:hint="default"/>
      </w:rPr>
    </w:lvl>
    <w:lvl w:ilvl="3">
      <w:start w:val="1"/>
      <w:numFmt w:val="lowerRoman"/>
      <w:lvlText w:val="%4."/>
      <w:lvlJc w:val="right"/>
      <w:pPr>
        <w:ind w:left="2376" w:hanging="288"/>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EA4EEC"/>
    <w:multiLevelType w:val="multilevel"/>
    <w:tmpl w:val="E9AE4E8A"/>
    <w:lvl w:ilvl="0">
      <w:start w:val="1"/>
      <w:numFmt w:val="upperLetter"/>
      <w:lvlText w:val="%1."/>
      <w:lvlJc w:val="right"/>
      <w:pPr>
        <w:ind w:left="504" w:hanging="144"/>
      </w:pPr>
      <w:rPr>
        <w:rFonts w:ascii="Arial" w:eastAsia="Times New Roman" w:hAnsi="Arial" w:cs="Arial" w:hint="default"/>
        <w:b w:val="0"/>
        <w:bCs w:val="0"/>
      </w:rPr>
    </w:lvl>
    <w:lvl w:ilvl="1">
      <w:start w:val="1"/>
      <w:numFmt w:val="decimal"/>
      <w:lvlText w:val="%2."/>
      <w:lvlJc w:val="left"/>
      <w:pPr>
        <w:ind w:left="1224" w:hanging="504"/>
      </w:pPr>
      <w:rPr>
        <w:rFonts w:hint="default"/>
        <w:b w:val="0"/>
        <w:bCs/>
      </w:rPr>
    </w:lvl>
    <w:lvl w:ilvl="2">
      <w:start w:val="1"/>
      <w:numFmt w:val="bullet"/>
      <w:lvlText w:val="o"/>
      <w:lvlJc w:val="left"/>
      <w:pPr>
        <w:ind w:left="1656" w:hanging="360"/>
      </w:pPr>
      <w:rPr>
        <w:rFonts w:ascii="Courier New" w:hAnsi="Courier New" w:cs="Courier New" w:hint="default"/>
      </w:rPr>
    </w:lvl>
    <w:lvl w:ilvl="3">
      <w:start w:val="1"/>
      <w:numFmt w:val="lowerRoman"/>
      <w:lvlText w:val="%4."/>
      <w:lvlJc w:val="right"/>
      <w:pPr>
        <w:ind w:left="2376" w:hanging="288"/>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3C4064C"/>
    <w:multiLevelType w:val="multilevel"/>
    <w:tmpl w:val="0A34CFFA"/>
    <w:lvl w:ilvl="0">
      <w:start w:val="1"/>
      <w:numFmt w:val="upperLetter"/>
      <w:lvlText w:val="%1."/>
      <w:lvlJc w:val="right"/>
      <w:pPr>
        <w:ind w:left="504" w:hanging="144"/>
      </w:pPr>
      <w:rPr>
        <w:rFonts w:ascii="Verdana" w:eastAsia="Times New Roman" w:hAnsi="Verdana" w:cs="Calibri" w:hint="default"/>
        <w:b w:val="0"/>
        <w:bCs w:val="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504"/>
      </w:pPr>
      <w:rPr>
        <w:rFonts w:hint="default"/>
      </w:rPr>
    </w:lvl>
    <w:lvl w:ilvl="3">
      <w:start w:val="1"/>
      <w:numFmt w:val="lowerRoman"/>
      <w:lvlText w:val="%4."/>
      <w:lvlJc w:val="right"/>
      <w:pPr>
        <w:ind w:left="2376" w:hanging="288"/>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BA220C3"/>
    <w:multiLevelType w:val="multilevel"/>
    <w:tmpl w:val="D2D485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2"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0"/>
  </w:num>
  <w:num w:numId="3" w16cid:durableId="943148761">
    <w:abstractNumId w:val="18"/>
  </w:num>
  <w:num w:numId="4" w16cid:durableId="109056539">
    <w:abstractNumId w:val="33"/>
  </w:num>
  <w:num w:numId="5" w16cid:durableId="1893686843">
    <w:abstractNumId w:val="23"/>
  </w:num>
  <w:num w:numId="6" w16cid:durableId="760954600">
    <w:abstractNumId w:val="26"/>
  </w:num>
  <w:num w:numId="7" w16cid:durableId="1429428784">
    <w:abstractNumId w:val="14"/>
  </w:num>
  <w:num w:numId="8" w16cid:durableId="436485834">
    <w:abstractNumId w:val="9"/>
  </w:num>
  <w:num w:numId="9" w16cid:durableId="127362230">
    <w:abstractNumId w:val="5"/>
  </w:num>
  <w:num w:numId="10" w16cid:durableId="1604805518">
    <w:abstractNumId w:val="7"/>
  </w:num>
  <w:num w:numId="11" w16cid:durableId="1256401764">
    <w:abstractNumId w:val="28"/>
  </w:num>
  <w:num w:numId="12" w16cid:durableId="1548175440">
    <w:abstractNumId w:val="34"/>
  </w:num>
  <w:num w:numId="13" w16cid:durableId="975644156">
    <w:abstractNumId w:val="8"/>
  </w:num>
  <w:num w:numId="14" w16cid:durableId="2099713293">
    <w:abstractNumId w:val="20"/>
  </w:num>
  <w:num w:numId="15" w16cid:durableId="1594316770">
    <w:abstractNumId w:val="24"/>
  </w:num>
  <w:num w:numId="16" w16cid:durableId="700741873">
    <w:abstractNumId w:val="30"/>
  </w:num>
  <w:num w:numId="17" w16cid:durableId="1651835230">
    <w:abstractNumId w:val="19"/>
  </w:num>
  <w:num w:numId="18" w16cid:durableId="883299119">
    <w:abstractNumId w:val="32"/>
  </w:num>
  <w:num w:numId="19" w16cid:durableId="84305632">
    <w:abstractNumId w:val="13"/>
  </w:num>
  <w:num w:numId="20" w16cid:durableId="1057705478">
    <w:abstractNumId w:val="36"/>
  </w:num>
  <w:num w:numId="21" w16cid:durableId="96758055">
    <w:abstractNumId w:val="25"/>
  </w:num>
  <w:num w:numId="22" w16cid:durableId="722797963">
    <w:abstractNumId w:val="10"/>
  </w:num>
  <w:num w:numId="23" w16cid:durableId="1638485069">
    <w:abstractNumId w:val="17"/>
  </w:num>
  <w:num w:numId="24" w16cid:durableId="1439984590">
    <w:abstractNumId w:val="36"/>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7"/>
  </w:num>
  <w:num w:numId="32" w16cid:durableId="191573243">
    <w:abstractNumId w:val="29"/>
  </w:num>
  <w:num w:numId="33" w16cid:durableId="718751240">
    <w:abstractNumId w:val="4"/>
  </w:num>
  <w:num w:numId="34" w16cid:durableId="1367289556">
    <w:abstractNumId w:val="21"/>
  </w:num>
  <w:num w:numId="35" w16cid:durableId="1934777624">
    <w:abstractNumId w:val="12"/>
  </w:num>
  <w:num w:numId="36" w16cid:durableId="1647272484">
    <w:abstractNumId w:val="35"/>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3262073">
    <w:abstractNumId w:val="3"/>
  </w:num>
  <w:num w:numId="40" w16cid:durableId="1068840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6701948">
    <w:abstractNumId w:val="16"/>
  </w:num>
  <w:num w:numId="42" w16cid:durableId="821310420">
    <w:abstractNumId w:val="27"/>
  </w:num>
  <w:num w:numId="43" w16cid:durableId="3996435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6138"/>
    <w:rsid w:val="0005762A"/>
    <w:rsid w:val="00072906"/>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3B63"/>
    <w:rsid w:val="00177C2C"/>
    <w:rsid w:val="001841B3"/>
    <w:rsid w:val="00184EE4"/>
    <w:rsid w:val="001901F0"/>
    <w:rsid w:val="001A2B37"/>
    <w:rsid w:val="001B3B8F"/>
    <w:rsid w:val="001C20F2"/>
    <w:rsid w:val="001D4D49"/>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40B05"/>
    <w:rsid w:val="003500F1"/>
    <w:rsid w:val="00380C78"/>
    <w:rsid w:val="00381C86"/>
    <w:rsid w:val="00387B68"/>
    <w:rsid w:val="003B11A4"/>
    <w:rsid w:val="003C178F"/>
    <w:rsid w:val="003E1761"/>
    <w:rsid w:val="00414B84"/>
    <w:rsid w:val="00417839"/>
    <w:rsid w:val="00420B1A"/>
    <w:rsid w:val="00422F66"/>
    <w:rsid w:val="00437552"/>
    <w:rsid w:val="0044342D"/>
    <w:rsid w:val="004660C5"/>
    <w:rsid w:val="00472E58"/>
    <w:rsid w:val="00473095"/>
    <w:rsid w:val="00480204"/>
    <w:rsid w:val="0049537E"/>
    <w:rsid w:val="004E6008"/>
    <w:rsid w:val="00501E08"/>
    <w:rsid w:val="00507EDE"/>
    <w:rsid w:val="005349DD"/>
    <w:rsid w:val="00555595"/>
    <w:rsid w:val="00566993"/>
    <w:rsid w:val="00567559"/>
    <w:rsid w:val="005735AB"/>
    <w:rsid w:val="00574A7F"/>
    <w:rsid w:val="0057562C"/>
    <w:rsid w:val="00580991"/>
    <w:rsid w:val="005820F2"/>
    <w:rsid w:val="00590E50"/>
    <w:rsid w:val="005A5B07"/>
    <w:rsid w:val="005B1174"/>
    <w:rsid w:val="005D431C"/>
    <w:rsid w:val="005E363C"/>
    <w:rsid w:val="005F0E52"/>
    <w:rsid w:val="00602597"/>
    <w:rsid w:val="00663892"/>
    <w:rsid w:val="006822AE"/>
    <w:rsid w:val="00684E9F"/>
    <w:rsid w:val="006B1B66"/>
    <w:rsid w:val="006B3B8E"/>
    <w:rsid w:val="006D108A"/>
    <w:rsid w:val="006D1D01"/>
    <w:rsid w:val="006D7231"/>
    <w:rsid w:val="006E5210"/>
    <w:rsid w:val="006F605F"/>
    <w:rsid w:val="00700604"/>
    <w:rsid w:val="00701EDA"/>
    <w:rsid w:val="007253AC"/>
    <w:rsid w:val="00732372"/>
    <w:rsid w:val="00737F40"/>
    <w:rsid w:val="007400FF"/>
    <w:rsid w:val="00766AA2"/>
    <w:rsid w:val="00776112"/>
    <w:rsid w:val="00781378"/>
    <w:rsid w:val="00785189"/>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33A9"/>
    <w:rsid w:val="009104A8"/>
    <w:rsid w:val="009201F6"/>
    <w:rsid w:val="00925A41"/>
    <w:rsid w:val="00925B3F"/>
    <w:rsid w:val="00934027"/>
    <w:rsid w:val="0094174B"/>
    <w:rsid w:val="0095013C"/>
    <w:rsid w:val="00962B98"/>
    <w:rsid w:val="00984C14"/>
    <w:rsid w:val="00986961"/>
    <w:rsid w:val="00995554"/>
    <w:rsid w:val="00995882"/>
    <w:rsid w:val="009B3100"/>
    <w:rsid w:val="009C5DA1"/>
    <w:rsid w:val="009F4153"/>
    <w:rsid w:val="00A001F3"/>
    <w:rsid w:val="00A276C5"/>
    <w:rsid w:val="00A4148F"/>
    <w:rsid w:val="00A53108"/>
    <w:rsid w:val="00A70A13"/>
    <w:rsid w:val="00A70A57"/>
    <w:rsid w:val="00A81DE6"/>
    <w:rsid w:val="00AA1208"/>
    <w:rsid w:val="00AA1D64"/>
    <w:rsid w:val="00AB5851"/>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2848"/>
    <w:rsid w:val="00DC3298"/>
    <w:rsid w:val="00DC3C01"/>
    <w:rsid w:val="00DE1623"/>
    <w:rsid w:val="00DE30FB"/>
    <w:rsid w:val="00DF24E7"/>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35D64"/>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9C5DA1"/>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ote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ions@sos.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EL/htm/EL.20.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justice.gov/crt/national-voter-registration-act-1993-nv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rapp.sos.state.tx.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36F5D5EC-FB8C-4A16-9E7A-7E684232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766B0-C193-4937-AD92-E801A0CE5E69}">
  <ds:schemaRefs>
    <ds:schemaRef ds:uri="http://schemas.microsoft.com/sharepoint/v3/contenttype/forms"/>
  </ds:schemaRefs>
</ds:datastoreItem>
</file>

<file path=customXml/itemProps3.xml><?xml version="1.0" encoding="utf-8"?>
<ds:datastoreItem xmlns:ds="http://schemas.openxmlformats.org/officeDocument/2006/customXml" ds:itemID="{16BFF6D2-DAA0-4C89-A550-A4BADBD6ADE9}">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3.4 - Voter Registration</dc:title>
  <dc:subject/>
  <dc:creator>TWC-VR</dc:creator>
  <cp:keywords>Texas Workforce Commission Vocational Rehabilitation Services Manual (VRSM) policy</cp:keywords>
  <dc:description/>
  <cp:lastModifiedBy>Cooke,Heather J</cp:lastModifiedBy>
  <cp:revision>13</cp:revision>
  <dcterms:created xsi:type="dcterms:W3CDTF">2024-07-24T18:52:00Z</dcterms:created>
  <dcterms:modified xsi:type="dcterms:W3CDTF">2024-08-15T16:46:00Z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