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3723FD89" w:rsidR="002A345C" w:rsidRDefault="004A5685" w:rsidP="00CC4F77">
      <w:pPr>
        <w:pStyle w:val="Heading1"/>
      </w:pPr>
      <w:r w:rsidRPr="00CC4F77">
        <w:t>PART A, CHAPTER 3.1:</w:t>
      </w:r>
      <w:r w:rsidR="00CC4F77">
        <w:br/>
      </w:r>
      <w:r>
        <w:t>BASIC RIGHTS AND NON-DISCRIMINATION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5153"/>
        <w:gridCol w:w="1439"/>
        <w:gridCol w:w="1217"/>
      </w:tblGrid>
      <w:tr w:rsidR="009F7E02" w:rsidRPr="009F7E02" w14:paraId="4CDE8872" w14:textId="77777777" w:rsidTr="00792562">
        <w:trPr>
          <w:trHeight w:val="312"/>
        </w:trPr>
        <w:tc>
          <w:tcPr>
            <w:tcW w:w="1777" w:type="dxa"/>
            <w:shd w:val="clear" w:color="000000" w:fill="F0F4FA"/>
            <w:noWrap/>
            <w:vAlign w:val="bottom"/>
            <w:hideMark/>
          </w:tcPr>
          <w:p w14:paraId="71BD9DC9" w14:textId="77777777" w:rsidR="009F7E02" w:rsidRPr="009F7E02" w:rsidRDefault="009F7E02" w:rsidP="009F7E0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5153" w:type="dxa"/>
            <w:shd w:val="clear" w:color="000000" w:fill="F0F4FA"/>
            <w:noWrap/>
            <w:vAlign w:val="bottom"/>
            <w:hideMark/>
          </w:tcPr>
          <w:p w14:paraId="125B2ED2" w14:textId="77777777" w:rsidR="009F7E02" w:rsidRPr="009F7E02" w:rsidRDefault="009F7E02" w:rsidP="009F7E0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439" w:type="dxa"/>
            <w:shd w:val="clear" w:color="000000" w:fill="F0F4FA"/>
            <w:noWrap/>
            <w:vAlign w:val="bottom"/>
            <w:hideMark/>
          </w:tcPr>
          <w:p w14:paraId="4F1FD913" w14:textId="77777777" w:rsidR="009F7E02" w:rsidRPr="009F7E02" w:rsidRDefault="009F7E02" w:rsidP="009F7E0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shd w:val="clear" w:color="000000" w:fill="F0F4FA"/>
            <w:noWrap/>
            <w:vAlign w:val="bottom"/>
            <w:hideMark/>
          </w:tcPr>
          <w:p w14:paraId="13D77CE1" w14:textId="77777777" w:rsidR="009F7E02" w:rsidRPr="009F7E02" w:rsidRDefault="009F7E02" w:rsidP="009F7E0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4F09DB" w:rsidRPr="009F7E02" w14:paraId="711ED37A" w14:textId="77777777" w:rsidTr="00792562">
        <w:trPr>
          <w:trHeight w:val="300"/>
        </w:trPr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10256CE9" w14:textId="77777777" w:rsidR="004F09DB" w:rsidRPr="009F7E02" w:rsidRDefault="004F09DB" w:rsidP="004F09D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A, Chapter 3.1</w:t>
            </w:r>
          </w:p>
        </w:tc>
        <w:tc>
          <w:tcPr>
            <w:tcW w:w="5153" w:type="dxa"/>
            <w:shd w:val="clear" w:color="auto" w:fill="auto"/>
            <w:noWrap/>
            <w:vAlign w:val="center"/>
            <w:hideMark/>
          </w:tcPr>
          <w:p w14:paraId="06CFE4EA" w14:textId="5A537EDE" w:rsidR="004F09DB" w:rsidRPr="009F7E02" w:rsidRDefault="004F09DB" w:rsidP="004F09D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A5685">
              <w:rPr>
                <w:lang w:val="en" w:eastAsia="ja-JP"/>
              </w:rPr>
              <w:t xml:space="preserve">34 CFR </w:t>
            </w:r>
            <w:hyperlink r:id="rId10" w:anchor="p-361.42(c)" w:history="1">
              <w:r w:rsidRPr="004A5685">
                <w:rPr>
                  <w:rStyle w:val="Hyperlink"/>
                  <w:lang w:val="en" w:eastAsia="ja-JP"/>
                </w:rPr>
                <w:t>§361.42(c)</w:t>
              </w:r>
            </w:hyperlink>
            <w:r w:rsidRPr="004A5685">
              <w:rPr>
                <w:lang w:val="en" w:eastAsia="ja-JP"/>
              </w:rPr>
              <w:t xml:space="preserve">, </w:t>
            </w:r>
            <w:r>
              <w:rPr>
                <w:lang w:val="en" w:eastAsia="ja-JP"/>
              </w:rPr>
              <w:t xml:space="preserve">and </w:t>
            </w:r>
            <w:r w:rsidRPr="004A5685">
              <w:rPr>
                <w:lang w:val="en" w:eastAsia="ja-JP"/>
              </w:rPr>
              <w:t xml:space="preserve">TWC Rule </w:t>
            </w:r>
            <w:hyperlink r:id="rId11" w:history="1">
              <w:r w:rsidRPr="004A5685">
                <w:rPr>
                  <w:rStyle w:val="Hyperlink"/>
                  <w:lang w:val="en" w:eastAsia="ja-JP"/>
                </w:rPr>
                <w:t>§842 Subchapter A</w:t>
              </w:r>
            </w:hyperlink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08D964F" w14:textId="77777777" w:rsidR="004F09DB" w:rsidRPr="009F7E02" w:rsidRDefault="004F09DB" w:rsidP="004F09D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02CC4279" w14:textId="77777777" w:rsidR="004F09DB" w:rsidRPr="009F7E02" w:rsidRDefault="004F09DB" w:rsidP="004F09D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9F7E02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44DBB8D5" w14:textId="77777777" w:rsidR="004A5685" w:rsidRDefault="004A5685" w:rsidP="004A5685">
      <w:r w:rsidRPr="00B7778D">
        <w:t>Specifically, the purpose of this policy and these procedures is to ensure TWC-VR applicants, eligible individuals, and customers are afforded their basic rights, including the right to non-discriminatory services.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3137A362" w14:textId="77777777" w:rsidR="004A5685" w:rsidRPr="00B7778D" w:rsidRDefault="004A5685" w:rsidP="004A5685">
      <w:r w:rsidRPr="00995841">
        <w:rPr>
          <w:u w:val="single"/>
        </w:rPr>
        <w:t>Gender Expression</w:t>
      </w:r>
      <w:r w:rsidRPr="00B7778D">
        <w:t>: How a person publicly expresses or presents their gender.</w:t>
      </w:r>
    </w:p>
    <w:p w14:paraId="3E83A41E" w14:textId="77777777" w:rsidR="004A5685" w:rsidRPr="00B7778D" w:rsidRDefault="004A5685" w:rsidP="004A5685">
      <w:r w:rsidRPr="00995841">
        <w:rPr>
          <w:u w:val="single"/>
        </w:rPr>
        <w:t>Gender Identity</w:t>
      </w:r>
      <w:r w:rsidRPr="00B7778D">
        <w:t>: A person's internal and individual experience of gender.</w:t>
      </w:r>
    </w:p>
    <w:p w14:paraId="5B3BF19B" w14:textId="77777777" w:rsidR="004A5685" w:rsidRPr="00B7778D" w:rsidRDefault="004A5685" w:rsidP="004A5685">
      <w:r w:rsidRPr="00995841">
        <w:rPr>
          <w:u w:val="single"/>
        </w:rPr>
        <w:t>Nondiscrimination</w:t>
      </w:r>
      <w:r w:rsidRPr="00B7778D">
        <w:t xml:space="preserve">: Ensures that no one is denied their rights because of factors such as race, religion, gender, sexuality, etc. 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17410867" w14:textId="77889017" w:rsidR="004A5685" w:rsidRDefault="004A5685" w:rsidP="004A5685">
      <w:pPr>
        <w:autoSpaceDE w:val="0"/>
        <w:autoSpaceDN w:val="0"/>
        <w:adjustRightInd w:val="0"/>
      </w:pPr>
      <w:r>
        <w:t>TWC-VR customers are afforded certain basic rights, which include the right to—</w:t>
      </w:r>
    </w:p>
    <w:p w14:paraId="34EC12E9" w14:textId="77777777" w:rsidR="004A5685" w:rsidRDefault="004A5685" w:rsidP="004A5685">
      <w:pPr>
        <w:pStyle w:val="ListBulleted"/>
      </w:pPr>
      <w:r>
        <w:t>Have informed choice throughout the VR process;</w:t>
      </w:r>
    </w:p>
    <w:p w14:paraId="5F9E5706" w14:textId="77777777" w:rsidR="004A5685" w:rsidRDefault="004A5685" w:rsidP="004A5685">
      <w:pPr>
        <w:pStyle w:val="ListBulleted"/>
      </w:pPr>
      <w:r>
        <w:t>Be informed in writing of their rights using appropriate modes of communication;</w:t>
      </w:r>
    </w:p>
    <w:p w14:paraId="587D6DF9" w14:textId="77777777" w:rsidR="004A5685" w:rsidRDefault="004A5685" w:rsidP="004A5685">
      <w:pPr>
        <w:pStyle w:val="ListBulleted"/>
      </w:pPr>
      <w:r>
        <w:t>Receive services that are nondiscriminatory;</w:t>
      </w:r>
    </w:p>
    <w:p w14:paraId="5EF0DFC4" w14:textId="77777777" w:rsidR="004A5685" w:rsidRDefault="004A5685" w:rsidP="004A5685">
      <w:pPr>
        <w:pStyle w:val="ListBulleted"/>
      </w:pPr>
      <w:r>
        <w:t>Have their personal information contained in TWC-VR records protected; and</w:t>
      </w:r>
    </w:p>
    <w:p w14:paraId="59C55B23" w14:textId="77777777" w:rsidR="004A5685" w:rsidRDefault="004A5685" w:rsidP="004A5685">
      <w:pPr>
        <w:pStyle w:val="ListBulleted"/>
      </w:pPr>
      <w:r>
        <w:t>Appeal decisions regarding their planned services or their eligibility for such services.</w:t>
      </w:r>
    </w:p>
    <w:p w14:paraId="3BCAFAE9" w14:textId="77777777" w:rsidR="004A5685" w:rsidRDefault="004A5685" w:rsidP="004A5685">
      <w:pPr>
        <w:pStyle w:val="Heading3"/>
      </w:pPr>
      <w:r w:rsidRPr="00B7778D">
        <w:lastRenderedPageBreak/>
        <w:t>Prohibited Factors</w:t>
      </w:r>
    </w:p>
    <w:p w14:paraId="03462E00" w14:textId="77315D08" w:rsidR="004A5685" w:rsidRDefault="004A5685" w:rsidP="004A5685">
      <w:pPr>
        <w:autoSpaceDE w:val="0"/>
        <w:autoSpaceDN w:val="0"/>
        <w:adjustRightInd w:val="0"/>
      </w:pPr>
      <w:r>
        <w:t xml:space="preserve">TWC-VR does not exclude, deny benefits to, limit participation of, or otherwise discriminate against any individual who is otherwise eligible for TWC-VR services based on the </w:t>
      </w:r>
      <w:r w:rsidRPr="0073522A">
        <w:t>following:</w:t>
      </w:r>
    </w:p>
    <w:p w14:paraId="365F7923" w14:textId="77777777" w:rsidR="004A5685" w:rsidRDefault="004A5685" w:rsidP="004A5685">
      <w:pPr>
        <w:pStyle w:val="ListBulleted"/>
      </w:pPr>
      <w:r w:rsidRPr="00D30A68">
        <w:t>Residency</w:t>
      </w:r>
      <w:r>
        <w:t>: It is not required that a customer reside in Texas to be considered eligible for TWC-VR services; they must simply be present in Texas in order to participate in assessments and services</w:t>
      </w:r>
      <w:r w:rsidRPr="00D30A68">
        <w:t xml:space="preserve"> </w:t>
      </w:r>
      <w:r>
        <w:t>to be eligible for TWC-VR services.</w:t>
      </w:r>
    </w:p>
    <w:p w14:paraId="07B703F8" w14:textId="77777777" w:rsidR="004A5685" w:rsidRDefault="004A5685" w:rsidP="004A5685">
      <w:pPr>
        <w:pStyle w:val="ListBulleted"/>
      </w:pPr>
      <w:r>
        <w:t>Race</w:t>
      </w:r>
    </w:p>
    <w:p w14:paraId="131FF9D1" w14:textId="77777777" w:rsidR="004A5685" w:rsidRDefault="004A5685" w:rsidP="004A5685">
      <w:pPr>
        <w:pStyle w:val="ListBulleted"/>
      </w:pPr>
      <w:r>
        <w:t>Color</w:t>
      </w:r>
    </w:p>
    <w:p w14:paraId="4CBF8DA8" w14:textId="77777777" w:rsidR="004A5685" w:rsidRDefault="004A5685" w:rsidP="004A5685">
      <w:pPr>
        <w:pStyle w:val="ListBulleted"/>
      </w:pPr>
      <w:r>
        <w:t>Sex</w:t>
      </w:r>
    </w:p>
    <w:p w14:paraId="6BAA51DA" w14:textId="77777777" w:rsidR="004A5685" w:rsidRDefault="004A5685" w:rsidP="004A5685">
      <w:pPr>
        <w:pStyle w:val="ListBulleted"/>
      </w:pPr>
      <w:r>
        <w:t>National origin</w:t>
      </w:r>
    </w:p>
    <w:p w14:paraId="001300A6" w14:textId="77777777" w:rsidR="004A5685" w:rsidRDefault="004A5685" w:rsidP="004A5685">
      <w:pPr>
        <w:pStyle w:val="ListBulleted"/>
      </w:pPr>
      <w:r>
        <w:t>Age</w:t>
      </w:r>
    </w:p>
    <w:p w14:paraId="740C9BDF" w14:textId="77777777" w:rsidR="004A5685" w:rsidRDefault="004A5685" w:rsidP="004A5685">
      <w:pPr>
        <w:pStyle w:val="ListBulleted"/>
      </w:pPr>
      <w:r w:rsidRPr="00995841">
        <w:t>Disability</w:t>
      </w:r>
    </w:p>
    <w:p w14:paraId="22C4A35D" w14:textId="77777777" w:rsidR="004A5685" w:rsidRDefault="004A5685" w:rsidP="004A5685">
      <w:pPr>
        <w:pStyle w:val="ListBulleted"/>
      </w:pPr>
      <w:r>
        <w:t>Religion</w:t>
      </w:r>
    </w:p>
    <w:p w14:paraId="6CBBF6E2" w14:textId="77777777" w:rsidR="004A5685" w:rsidRDefault="004A5685" w:rsidP="004A5685">
      <w:pPr>
        <w:pStyle w:val="ListBulleted"/>
      </w:pPr>
      <w:r>
        <w:t>Sexual orientation</w:t>
      </w:r>
    </w:p>
    <w:p w14:paraId="01FB1C9D" w14:textId="77777777" w:rsidR="004A5685" w:rsidRDefault="004A5685" w:rsidP="004A5685">
      <w:pPr>
        <w:pStyle w:val="ListBulleted"/>
      </w:pPr>
      <w:r>
        <w:t>Gender</w:t>
      </w:r>
    </w:p>
    <w:p w14:paraId="198564B7" w14:textId="77777777" w:rsidR="004A5685" w:rsidRDefault="004A5685" w:rsidP="004A5685">
      <w:pPr>
        <w:pStyle w:val="ListBulleted"/>
      </w:pPr>
      <w:r>
        <w:t>Gender identity</w:t>
      </w:r>
    </w:p>
    <w:p w14:paraId="2D75845F" w14:textId="77777777" w:rsidR="004A5685" w:rsidRDefault="004A5685" w:rsidP="004A5685">
      <w:pPr>
        <w:pStyle w:val="ListBulleted"/>
      </w:pPr>
      <w:r>
        <w:t>Gender expression</w:t>
      </w:r>
    </w:p>
    <w:p w14:paraId="1063EA5C" w14:textId="77777777" w:rsidR="004A5685" w:rsidRDefault="004A5685" w:rsidP="004A5685">
      <w:pPr>
        <w:pStyle w:val="ListBulleted"/>
      </w:pPr>
      <w:r>
        <w:t>Source of referral to TWC-VR</w:t>
      </w:r>
    </w:p>
    <w:p w14:paraId="64228796" w14:textId="77777777" w:rsidR="004A5685" w:rsidRDefault="004A5685" w:rsidP="004A5685">
      <w:pPr>
        <w:pStyle w:val="ListBulleted"/>
      </w:pPr>
      <w:r>
        <w:t>Expected employment outcome, services needed, anticipated cost of services, income level (including families), employment status (including history), and educational status or credentials.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3BF5E84A" w14:textId="388A1363" w:rsidR="000538A8" w:rsidRDefault="004A5685" w:rsidP="00896AC1">
      <w:pPr>
        <w:pStyle w:val="Heading3"/>
        <w:numPr>
          <w:ilvl w:val="0"/>
          <w:numId w:val="37"/>
        </w:numPr>
      </w:pPr>
      <w:r>
        <w:t>"Can We Talk?" Brochure</w:t>
      </w:r>
    </w:p>
    <w:p w14:paraId="19C51D0B" w14:textId="77777777" w:rsidR="004A5685" w:rsidRPr="00D30A68" w:rsidRDefault="004A5685" w:rsidP="004A5685">
      <w:pPr>
        <w:autoSpaceDE w:val="0"/>
        <w:autoSpaceDN w:val="0"/>
        <w:adjustRightInd w:val="0"/>
      </w:pPr>
      <w:r>
        <w:t>C</w:t>
      </w:r>
      <w:r w:rsidRPr="00D30A68">
        <w:t xml:space="preserve">ustomer rights applicable to each TWC-VR program are summarized in the </w:t>
      </w:r>
      <w:r w:rsidRPr="007776AA">
        <w:t>"Can We Talk?"</w:t>
      </w:r>
      <w:r w:rsidRPr="00D30A68">
        <w:t xml:space="preserve"> brochure. A copy of the brochure must be provided to </w:t>
      </w:r>
      <w:r>
        <w:t>potentially eligible students with disabilities, a</w:t>
      </w:r>
      <w:r w:rsidRPr="00D30A68">
        <w:t>pplicant</w:t>
      </w:r>
      <w:r>
        <w:t>s, eligible individuals,</w:t>
      </w:r>
      <w:r w:rsidRPr="00D30A68">
        <w:t xml:space="preserve"> </w:t>
      </w:r>
      <w:r>
        <w:t xml:space="preserve">and </w:t>
      </w:r>
      <w:r w:rsidRPr="00D30A68">
        <w:t>customer</w:t>
      </w:r>
      <w:r>
        <w:t>s</w:t>
      </w:r>
      <w:r w:rsidRPr="00D30A68">
        <w:t>,</w:t>
      </w:r>
      <w:r>
        <w:t xml:space="preserve"> </w:t>
      </w:r>
      <w:r w:rsidRPr="00D30A68">
        <w:t>at a minimum—</w:t>
      </w:r>
    </w:p>
    <w:p w14:paraId="39F7E89E" w14:textId="77777777" w:rsidR="004A5685" w:rsidRPr="00D30A68" w:rsidRDefault="004A5685" w:rsidP="004A5685">
      <w:pPr>
        <w:pStyle w:val="ListBulleted"/>
      </w:pPr>
      <w:r w:rsidRPr="00D30A68">
        <w:t xml:space="preserve">At application (or when the </w:t>
      </w:r>
      <w:r w:rsidRPr="009C3FC1">
        <w:rPr>
          <w:i/>
          <w:iCs/>
        </w:rPr>
        <w:t>Request to Receive Pre-Employment Transition Services [VR1820]</w:t>
      </w:r>
      <w:r w:rsidRPr="00D30A68">
        <w:t xml:space="preserve"> is completed for potentially eligible students with disabilities);</w:t>
      </w:r>
    </w:p>
    <w:p w14:paraId="76A3C305" w14:textId="77777777" w:rsidR="004A5685" w:rsidRPr="00D30A68" w:rsidRDefault="004A5685" w:rsidP="004A5685">
      <w:pPr>
        <w:pStyle w:val="ListBulleted"/>
      </w:pPr>
      <w:r w:rsidRPr="00D30A68">
        <w:t>At the time of initial I</w:t>
      </w:r>
      <w:r>
        <w:t>ndividualized Plan for Employment (I</w:t>
      </w:r>
      <w:r w:rsidRPr="00D30A68">
        <w:t>PE</w:t>
      </w:r>
      <w:r>
        <w:t>)</w:t>
      </w:r>
      <w:r w:rsidRPr="00D30A68">
        <w:t xml:space="preserve"> or </w:t>
      </w:r>
      <w:r>
        <w:t xml:space="preserve">IPE </w:t>
      </w:r>
      <w:r w:rsidRPr="00D30A68">
        <w:t>amendment;</w:t>
      </w:r>
    </w:p>
    <w:p w14:paraId="037D9DEB" w14:textId="77777777" w:rsidR="004A5685" w:rsidRPr="00D30A68" w:rsidRDefault="004A5685" w:rsidP="004A5685">
      <w:pPr>
        <w:pStyle w:val="ListBulleted"/>
      </w:pPr>
      <w:r w:rsidRPr="00D30A68">
        <w:lastRenderedPageBreak/>
        <w:t>When services are being denied, reduced, suspended, or terminated; and</w:t>
      </w:r>
    </w:p>
    <w:p w14:paraId="051FE0AB" w14:textId="77777777" w:rsidR="004A5685" w:rsidRPr="00D30A68" w:rsidRDefault="004A5685" w:rsidP="004A5685">
      <w:pPr>
        <w:pStyle w:val="ListBulleted"/>
      </w:pPr>
      <w:r w:rsidRPr="00D30A68">
        <w:t>Upon customer request.</w:t>
      </w:r>
    </w:p>
    <w:p w14:paraId="6DCF0183" w14:textId="77777777" w:rsidR="004A5685" w:rsidRDefault="004A5685" w:rsidP="004A5685">
      <w:r w:rsidRPr="00D30A68">
        <w:t>A case note recording the date and method the brochure was given to the customer must be documented for each occurrence.</w:t>
      </w:r>
    </w:p>
    <w:p w14:paraId="6110C6E6" w14:textId="2B8A258B" w:rsidR="004A5685" w:rsidRPr="004A5685" w:rsidRDefault="004A5685" w:rsidP="004A5685">
      <w:pPr>
        <w:pStyle w:val="Heading3"/>
      </w:pPr>
      <w:r w:rsidRPr="004A5685">
        <w:t>Names and Pronouns</w:t>
      </w:r>
    </w:p>
    <w:p w14:paraId="586F533E" w14:textId="24D02B10" w:rsidR="004A5685" w:rsidRPr="00D30A68" w:rsidRDefault="004A5685" w:rsidP="004A5685">
      <w:pPr>
        <w:autoSpaceDE w:val="0"/>
        <w:autoSpaceDN w:val="0"/>
        <w:adjustRightInd w:val="0"/>
      </w:pPr>
      <w:r w:rsidRPr="00D30A68">
        <w:t>TWC-VR staff must always refer to each customer by the name and the gender-specific pronoun the individual prefers (e.g., he, his, him, she, hers, her, they, them, theirs). If TWC-VR staff members do not know an individual's pronoun preference, they may ask tactfully and respectfully. Continued intentional misuse of a customer's name and pronouns may breach the individual's privacy, put the individual at risk of harm</w:t>
      </w:r>
      <w:r>
        <w:t>,</w:t>
      </w:r>
      <w:r w:rsidRPr="00D30A68">
        <w:t xml:space="preserve"> and, in some circumstances, constitute harassment.</w:t>
      </w:r>
    </w:p>
    <w:p w14:paraId="65B5B0E0" w14:textId="77777777" w:rsidR="004A5685" w:rsidRDefault="004A5685" w:rsidP="004A5685">
      <w:pPr>
        <w:pStyle w:val="Heading3"/>
      </w:pPr>
      <w:r w:rsidRPr="00620F7B">
        <w:t>Civil Rights Complaints</w:t>
      </w:r>
    </w:p>
    <w:p w14:paraId="41D952EE" w14:textId="0813411D" w:rsidR="004A5685" w:rsidRPr="007776AA" w:rsidRDefault="004A5685" w:rsidP="004A5685">
      <w:pPr>
        <w:autoSpaceDE w:val="0"/>
        <w:autoSpaceDN w:val="0"/>
        <w:adjustRightInd w:val="0"/>
      </w:pPr>
      <w:r w:rsidRPr="00620F7B">
        <w:t xml:space="preserve">All discrimination complaints received by TWC-VR, either directly from a customer or through an external compliance agency, must be forwarded immediately to the </w:t>
      </w:r>
      <w:r w:rsidRPr="007776AA">
        <w:t xml:space="preserve">TWC Equal Opportunity (EO) Officer at </w:t>
      </w:r>
      <w:hyperlink r:id="rId12" w:history="1">
        <w:r w:rsidRPr="007776AA">
          <w:rPr>
            <w:rStyle w:val="Hyperlink"/>
          </w:rPr>
          <w:t>eo.complaint@twc.texas.gov</w:t>
        </w:r>
      </w:hyperlink>
      <w:r w:rsidRPr="007776AA">
        <w:t xml:space="preserve">   (Attn: EO Compliance Dept., Fraud Deterrence and Compliance Monitoring Division) by the TWC-VR staff member receiving the complaint. Customers can also be referred immediately to the EO hotline at </w:t>
      </w:r>
      <w:r>
        <w:t>(</w:t>
      </w:r>
      <w:r w:rsidRPr="007776AA">
        <w:t>512</w:t>
      </w:r>
      <w:r>
        <w:t xml:space="preserve">) </w:t>
      </w:r>
      <w:r w:rsidRPr="007776AA">
        <w:t>463-2400.</w:t>
      </w:r>
    </w:p>
    <w:p w14:paraId="494F5365" w14:textId="77777777" w:rsidR="004A5685" w:rsidRPr="004A5685" w:rsidRDefault="004A5685" w:rsidP="004A5685">
      <w:pPr>
        <w:rPr>
          <w:spacing w:val="-2"/>
        </w:rPr>
      </w:pPr>
      <w:r w:rsidRPr="004A5685">
        <w:rPr>
          <w:spacing w:val="-2"/>
        </w:rPr>
        <w:t xml:space="preserve">Detailed information about policies, services, and procedures may be found at </w:t>
      </w:r>
      <w:hyperlink r:id="rId13" w:history="1">
        <w:r w:rsidRPr="004A5685">
          <w:rPr>
            <w:rStyle w:val="Hyperlink"/>
            <w:spacing w:val="-2"/>
          </w:rPr>
          <w:t>TWC Equal Opportunity is the Law</w:t>
        </w:r>
      </w:hyperlink>
      <w:r w:rsidRPr="004A5685">
        <w:rPr>
          <w:spacing w:val="-2"/>
        </w:rPr>
        <w:t>.</w:t>
      </w:r>
    </w:p>
    <w:p w14:paraId="424771A3" w14:textId="5817096D" w:rsidR="00145D80" w:rsidRDefault="009033A9" w:rsidP="00CC4F77">
      <w:pPr>
        <w:pStyle w:val="Heading2"/>
        <w:spacing w:before="160"/>
      </w:pPr>
      <w:r>
        <w:t>APPROVALS &amp; CONSULTATIONS</w:t>
      </w:r>
    </w:p>
    <w:p w14:paraId="3018B412" w14:textId="2D77CEED" w:rsidR="009033A9" w:rsidRPr="00E57035" w:rsidRDefault="00A70A57" w:rsidP="004A5685">
      <w:r w:rsidRPr="00E57035">
        <w:t>There are no approvals or consultations for this policy and these procedures</w:t>
      </w:r>
      <w:r w:rsidR="00133CB2" w:rsidRPr="00E57035">
        <w:t>.</w:t>
      </w:r>
    </w:p>
    <w:p w14:paraId="4719B5DE" w14:textId="77777777" w:rsidR="00014F81" w:rsidRPr="009D5287" w:rsidRDefault="00014F81" w:rsidP="00014F81">
      <w:pPr>
        <w:keepNext/>
        <w:keepLines/>
        <w:spacing w:before="240" w:after="8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9D5287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4062EBA0" w14:textId="77777777" w:rsidR="00014F81" w:rsidRPr="009D5287" w:rsidRDefault="00014F81" w:rsidP="00014F81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003"/>
        <w:gridCol w:w="7350"/>
      </w:tblGrid>
      <w:tr w:rsidR="00014F81" w:rsidRPr="009D5287" w14:paraId="10E05887" w14:textId="77777777" w:rsidTr="007D1F1C">
        <w:tc>
          <w:tcPr>
            <w:tcW w:w="1861" w:type="dxa"/>
            <w:shd w:val="clear" w:color="auto" w:fill="F0F4FA" w:themeFill="accent4"/>
            <w:vAlign w:val="center"/>
          </w:tcPr>
          <w:p w14:paraId="2DF63B22" w14:textId="77777777" w:rsidR="00014F81" w:rsidRPr="009D5287" w:rsidRDefault="00014F81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03" w:type="dxa"/>
            <w:shd w:val="clear" w:color="auto" w:fill="F0F4FA" w:themeFill="accent4"/>
          </w:tcPr>
          <w:p w14:paraId="5A47514E" w14:textId="77777777" w:rsidR="00014F81" w:rsidRPr="009D5287" w:rsidRDefault="00014F81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shd w:val="clear" w:color="auto" w:fill="F0F4FA" w:themeFill="accent4"/>
            <w:vAlign w:val="center"/>
          </w:tcPr>
          <w:p w14:paraId="7D0701E3" w14:textId="77777777" w:rsidR="00014F81" w:rsidRPr="009D5287" w:rsidRDefault="00014F81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014F81" w:rsidRPr="009D5287" w14:paraId="1C55857E" w14:textId="77777777" w:rsidTr="004E2DF6">
        <w:tc>
          <w:tcPr>
            <w:tcW w:w="1861" w:type="dxa"/>
          </w:tcPr>
          <w:p w14:paraId="09B0FEA6" w14:textId="77777777" w:rsidR="00014F81" w:rsidRPr="009D5287" w:rsidRDefault="00014F81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03" w:type="dxa"/>
          </w:tcPr>
          <w:p w14:paraId="6625E458" w14:textId="77777777" w:rsidR="00014F81" w:rsidRPr="009D5287" w:rsidRDefault="00014F81" w:rsidP="004E2DF6">
            <w:r w:rsidRPr="009D5287">
              <w:t>New</w:t>
            </w:r>
          </w:p>
        </w:tc>
        <w:tc>
          <w:tcPr>
            <w:tcW w:w="7350" w:type="dxa"/>
          </w:tcPr>
          <w:p w14:paraId="56B5ED18" w14:textId="77777777" w:rsidR="00014F81" w:rsidRPr="009D5287" w:rsidRDefault="00014F81" w:rsidP="004E2DF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5CBCB134" w:rsidR="001901F0" w:rsidRPr="00E57035" w:rsidRDefault="001901F0" w:rsidP="00E84DFB">
      <w:pPr>
        <w:rPr>
          <w:color w:val="C00000"/>
        </w:rPr>
      </w:pPr>
    </w:p>
    <w:sectPr w:rsidR="001901F0" w:rsidRPr="00E57035" w:rsidSect="00F82376">
      <w:headerReference w:type="default" r:id="rId14"/>
      <w:footerReference w:type="default" r:id="rId15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EDB0" w14:textId="77777777" w:rsidR="00012288" w:rsidRDefault="00012288" w:rsidP="00895186">
      <w:r>
        <w:separator/>
      </w:r>
    </w:p>
  </w:endnote>
  <w:endnote w:type="continuationSeparator" w:id="0">
    <w:p w14:paraId="7801437C" w14:textId="77777777" w:rsidR="00012288" w:rsidRDefault="00012288" w:rsidP="00895186">
      <w:r>
        <w:continuationSeparator/>
      </w:r>
    </w:p>
  </w:endnote>
  <w:endnote w:type="continuationNotice" w:id="1">
    <w:p w14:paraId="1D9DFE06" w14:textId="77777777" w:rsidR="00505CF4" w:rsidRDefault="00505C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5E68CC8C" w:rsidR="00B24E6C" w:rsidRDefault="004A5685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5BC53ECE">
              <wp:simplePos x="0" y="0"/>
              <wp:positionH relativeFrom="column">
                <wp:posOffset>-374015</wp:posOffset>
              </wp:positionH>
              <wp:positionV relativeFrom="paragraph">
                <wp:posOffset>5715</wp:posOffset>
              </wp:positionV>
              <wp:extent cx="411480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362689CE" w:rsidR="00501E08" w:rsidRPr="00501E08" w:rsidRDefault="004A5685" w:rsidP="00895186">
                          <w:r>
                            <w:t>Part A, Chapter 3.1: Basic Rights and Non-Discrimination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45pt;width:324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" filled="f" stroked="f" strokeweight=".5pt">
              <v:textbox>
                <w:txbxContent>
                  <w:p w14:paraId="25686EF3" w14:textId="362689CE" w:rsidR="00501E08" w:rsidRPr="00501E08" w:rsidRDefault="004A5685" w:rsidP="00895186">
                    <w:r>
                      <w:t>Part A, Chapter 3.1: Basic Rights and Non-Discrimination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2E9292C0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349B" w14:textId="77777777" w:rsidR="00012288" w:rsidRDefault="00012288" w:rsidP="00895186">
      <w:r>
        <w:separator/>
      </w:r>
    </w:p>
  </w:footnote>
  <w:footnote w:type="continuationSeparator" w:id="0">
    <w:p w14:paraId="6094EB4F" w14:textId="77777777" w:rsidR="00012288" w:rsidRDefault="00012288" w:rsidP="00895186">
      <w:r>
        <w:continuationSeparator/>
      </w:r>
    </w:p>
  </w:footnote>
  <w:footnote w:type="continuationNotice" w:id="1">
    <w:p w14:paraId="5F0CFF7C" w14:textId="77777777" w:rsidR="00505CF4" w:rsidRDefault="00505C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3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4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0E6C24"/>
    <w:multiLevelType w:val="hybridMultilevel"/>
    <w:tmpl w:val="2C2025A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1B0FF9"/>
    <w:multiLevelType w:val="hybridMultilevel"/>
    <w:tmpl w:val="9EFC971A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35" w15:restartNumberingAfterBreak="0">
    <w:nsid w:val="7D3C4858"/>
    <w:multiLevelType w:val="hybridMultilevel"/>
    <w:tmpl w:val="BF10791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89932">
    <w:abstractNumId w:val="19"/>
  </w:num>
  <w:num w:numId="2" w16cid:durableId="620455520">
    <w:abstractNumId w:val="0"/>
  </w:num>
  <w:num w:numId="3" w16cid:durableId="943148761">
    <w:abstractNumId w:val="15"/>
  </w:num>
  <w:num w:numId="4" w16cid:durableId="109056539">
    <w:abstractNumId w:val="29"/>
  </w:num>
  <w:num w:numId="5" w16cid:durableId="1893686843">
    <w:abstractNumId w:val="20"/>
  </w:num>
  <w:num w:numId="6" w16cid:durableId="760954600">
    <w:abstractNumId w:val="23"/>
  </w:num>
  <w:num w:numId="7" w16cid:durableId="1429428784">
    <w:abstractNumId w:val="12"/>
  </w:num>
  <w:num w:numId="8" w16cid:durableId="436485834">
    <w:abstractNumId w:val="7"/>
  </w:num>
  <w:num w:numId="9" w16cid:durableId="127362230">
    <w:abstractNumId w:val="4"/>
  </w:num>
  <w:num w:numId="10" w16cid:durableId="1604805518">
    <w:abstractNumId w:val="5"/>
  </w:num>
  <w:num w:numId="11" w16cid:durableId="1256401764">
    <w:abstractNumId w:val="24"/>
  </w:num>
  <w:num w:numId="12" w16cid:durableId="1548175440">
    <w:abstractNumId w:val="30"/>
  </w:num>
  <w:num w:numId="13" w16cid:durableId="975644156">
    <w:abstractNumId w:val="6"/>
  </w:num>
  <w:num w:numId="14" w16cid:durableId="2099713293">
    <w:abstractNumId w:val="17"/>
  </w:num>
  <w:num w:numId="15" w16cid:durableId="1594316770">
    <w:abstractNumId w:val="21"/>
  </w:num>
  <w:num w:numId="16" w16cid:durableId="700741873">
    <w:abstractNumId w:val="27"/>
  </w:num>
  <w:num w:numId="17" w16cid:durableId="1651835230">
    <w:abstractNumId w:val="16"/>
  </w:num>
  <w:num w:numId="18" w16cid:durableId="883299119">
    <w:abstractNumId w:val="28"/>
  </w:num>
  <w:num w:numId="19" w16cid:durableId="84305632">
    <w:abstractNumId w:val="11"/>
  </w:num>
  <w:num w:numId="20" w16cid:durableId="1057705478">
    <w:abstractNumId w:val="32"/>
  </w:num>
  <w:num w:numId="21" w16cid:durableId="96758055">
    <w:abstractNumId w:val="22"/>
  </w:num>
  <w:num w:numId="22" w16cid:durableId="722797963">
    <w:abstractNumId w:val="8"/>
  </w:num>
  <w:num w:numId="23" w16cid:durableId="1638485069">
    <w:abstractNumId w:val="14"/>
  </w:num>
  <w:num w:numId="24" w16cid:durableId="1439984590">
    <w:abstractNumId w:val="32"/>
    <w:lvlOverride w:ilvl="0">
      <w:startOverride w:val="1"/>
    </w:lvlOverride>
  </w:num>
  <w:num w:numId="25" w16cid:durableId="460730897">
    <w:abstractNumId w:val="9"/>
  </w:num>
  <w:num w:numId="26" w16cid:durableId="1377244451">
    <w:abstractNumId w:val="1"/>
  </w:num>
  <w:num w:numId="27" w16cid:durableId="30420175">
    <w:abstractNumId w:val="13"/>
  </w:num>
  <w:num w:numId="28" w16cid:durableId="763261832">
    <w:abstractNumId w:val="2"/>
  </w:num>
  <w:num w:numId="29" w16cid:durableId="1268929695">
    <w:abstractNumId w:val="13"/>
    <w:lvlOverride w:ilvl="0">
      <w:startOverride w:val="1"/>
    </w:lvlOverride>
  </w:num>
  <w:num w:numId="30" w16cid:durableId="1510757688">
    <w:abstractNumId w:val="13"/>
  </w:num>
  <w:num w:numId="31" w16cid:durableId="1760524021">
    <w:abstractNumId w:val="34"/>
  </w:num>
  <w:num w:numId="32" w16cid:durableId="191573243">
    <w:abstractNumId w:val="25"/>
  </w:num>
  <w:num w:numId="33" w16cid:durableId="718751240">
    <w:abstractNumId w:val="3"/>
  </w:num>
  <w:num w:numId="34" w16cid:durableId="1367289556">
    <w:abstractNumId w:val="18"/>
  </w:num>
  <w:num w:numId="35" w16cid:durableId="1934777624">
    <w:abstractNumId w:val="10"/>
  </w:num>
  <w:num w:numId="36" w16cid:durableId="1647272484">
    <w:abstractNumId w:val="31"/>
  </w:num>
  <w:num w:numId="37" w16cid:durableId="1327826153">
    <w:abstractNumId w:val="13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0541201">
    <w:abstractNumId w:val="35"/>
  </w:num>
  <w:num w:numId="40" w16cid:durableId="1754355260">
    <w:abstractNumId w:val="26"/>
  </w:num>
  <w:num w:numId="41" w16cid:durableId="211289242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2288"/>
    <w:rsid w:val="00014F81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C2DB3"/>
    <w:rsid w:val="001D6A92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D57AD"/>
    <w:rsid w:val="002E0AF2"/>
    <w:rsid w:val="002F3A16"/>
    <w:rsid w:val="002F7604"/>
    <w:rsid w:val="003155F3"/>
    <w:rsid w:val="00330015"/>
    <w:rsid w:val="0033181C"/>
    <w:rsid w:val="00340B05"/>
    <w:rsid w:val="00342D96"/>
    <w:rsid w:val="003500F1"/>
    <w:rsid w:val="00380C78"/>
    <w:rsid w:val="00381C86"/>
    <w:rsid w:val="00387B68"/>
    <w:rsid w:val="003B11A4"/>
    <w:rsid w:val="003E1761"/>
    <w:rsid w:val="00414B84"/>
    <w:rsid w:val="00417839"/>
    <w:rsid w:val="00420B1A"/>
    <w:rsid w:val="00422F66"/>
    <w:rsid w:val="00437552"/>
    <w:rsid w:val="0044342D"/>
    <w:rsid w:val="00472E58"/>
    <w:rsid w:val="00473095"/>
    <w:rsid w:val="0049537E"/>
    <w:rsid w:val="004A5685"/>
    <w:rsid w:val="004D4846"/>
    <w:rsid w:val="004E6008"/>
    <w:rsid w:val="004F09DB"/>
    <w:rsid w:val="00501E08"/>
    <w:rsid w:val="00505CF4"/>
    <w:rsid w:val="00507EDE"/>
    <w:rsid w:val="00524953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E363C"/>
    <w:rsid w:val="005F0E52"/>
    <w:rsid w:val="005F1C94"/>
    <w:rsid w:val="00602597"/>
    <w:rsid w:val="00663892"/>
    <w:rsid w:val="006822AE"/>
    <w:rsid w:val="00684E9F"/>
    <w:rsid w:val="006D108A"/>
    <w:rsid w:val="006D7231"/>
    <w:rsid w:val="006F605F"/>
    <w:rsid w:val="00700604"/>
    <w:rsid w:val="00701EDA"/>
    <w:rsid w:val="007253AC"/>
    <w:rsid w:val="00732372"/>
    <w:rsid w:val="00733FF8"/>
    <w:rsid w:val="00737F40"/>
    <w:rsid w:val="007400FF"/>
    <w:rsid w:val="00781378"/>
    <w:rsid w:val="00785189"/>
    <w:rsid w:val="00792562"/>
    <w:rsid w:val="007C2A47"/>
    <w:rsid w:val="007D1F1C"/>
    <w:rsid w:val="007D6F90"/>
    <w:rsid w:val="007F608C"/>
    <w:rsid w:val="008021D5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2060"/>
    <w:rsid w:val="00894538"/>
    <w:rsid w:val="00895186"/>
    <w:rsid w:val="00896AC1"/>
    <w:rsid w:val="008A37E9"/>
    <w:rsid w:val="008B322A"/>
    <w:rsid w:val="008B46E0"/>
    <w:rsid w:val="008D77B1"/>
    <w:rsid w:val="008E0E02"/>
    <w:rsid w:val="008E4387"/>
    <w:rsid w:val="008E7E48"/>
    <w:rsid w:val="008F1BE2"/>
    <w:rsid w:val="008F5FC7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9F7E02"/>
    <w:rsid w:val="00A001F3"/>
    <w:rsid w:val="00A276C5"/>
    <w:rsid w:val="00A4148F"/>
    <w:rsid w:val="00A53108"/>
    <w:rsid w:val="00A70A13"/>
    <w:rsid w:val="00A70A57"/>
    <w:rsid w:val="00A81DE6"/>
    <w:rsid w:val="00AA1208"/>
    <w:rsid w:val="00AA1D64"/>
    <w:rsid w:val="00AB7064"/>
    <w:rsid w:val="00AC49D4"/>
    <w:rsid w:val="00AD095A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A2C02"/>
    <w:rsid w:val="00BB1B54"/>
    <w:rsid w:val="00C179E1"/>
    <w:rsid w:val="00C352AB"/>
    <w:rsid w:val="00C52486"/>
    <w:rsid w:val="00C57B6D"/>
    <w:rsid w:val="00C71AE5"/>
    <w:rsid w:val="00C759E8"/>
    <w:rsid w:val="00C75DF7"/>
    <w:rsid w:val="00CA6FBB"/>
    <w:rsid w:val="00CB2389"/>
    <w:rsid w:val="00CB3FD2"/>
    <w:rsid w:val="00CB5436"/>
    <w:rsid w:val="00CC4F77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56D5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017F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84DFB"/>
    <w:rsid w:val="00E95975"/>
    <w:rsid w:val="00EF55C3"/>
    <w:rsid w:val="00F01C9E"/>
    <w:rsid w:val="00F0306B"/>
    <w:rsid w:val="00F04098"/>
    <w:rsid w:val="00F1048D"/>
    <w:rsid w:val="00F21255"/>
    <w:rsid w:val="00F54EFD"/>
    <w:rsid w:val="00F5573C"/>
    <w:rsid w:val="00F615A4"/>
    <w:rsid w:val="00F63D84"/>
    <w:rsid w:val="00F72CDD"/>
    <w:rsid w:val="00F77C6D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A5685"/>
    <w:rPr>
      <w:color w:val="9F322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wc.texas.gov/agency/laws-rules-policy/equal-opportunity-la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o.complaint@twc.texa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ViewTAC?tac_view=5&amp;ti=40&amp;pt=20&amp;ch=842&amp;sch=A&amp;rl=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8-14-24 HJC Added borders back in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A1A1772E-DE85-4819-A2AD-38C1608C8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22EE3-2703-4548-835F-D0A8A0D72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D776D-6A5A-4CA0-A008-21D82B3D066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6bfde61a-94c1-42db-b4d1-79e5b3c6adc0"/>
    <ds:schemaRef ds:uri="http://schemas.openxmlformats.org/package/2006/metadata/core-properties"/>
    <ds:schemaRef ds:uri="041c5daf-9d3a-4e9a-b660-f4ef0b4e5805"/>
    <ds:schemaRef ds:uri="58825e9e-cc90-40c0-979d-f086666194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A, Chapter 3.1 - Basic Rights and Non-Discrimination</dc:title>
  <dc:subject/>
  <dc:creator>TWC-VR</dc:creator>
  <cp:keywords>Texas Workforce Commission Vocational Rehabilitation Services Manual (VRSM) policy</cp:keywords>
  <dc:description/>
  <cp:lastModifiedBy>Cooke,Heather J</cp:lastModifiedBy>
  <cp:revision>16</cp:revision>
  <dcterms:created xsi:type="dcterms:W3CDTF">2024-07-24T18:52:00Z</dcterms:created>
  <dcterms:modified xsi:type="dcterms:W3CDTF">2024-08-15T16:38:00Z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