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2FE669F6" w:rsidR="002A345C" w:rsidRDefault="003819AC" w:rsidP="00BC08B1">
      <w:pPr>
        <w:pStyle w:val="Heading1"/>
      </w:pPr>
      <w:bookmarkStart w:id="0" w:name="_Hlk173692117"/>
      <w:r w:rsidRPr="00BC08B1">
        <w:t xml:space="preserve">PART A, CHAPTER 2: </w:t>
      </w:r>
      <w:r w:rsidR="006B0167" w:rsidRPr="00BC08B1">
        <w:t>L</w:t>
      </w:r>
      <w:r w:rsidR="0029181A" w:rsidRPr="00BC08B1">
        <w:t>EGAL AUTHORITY AND PURPOSE</w:t>
      </w: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6392"/>
        <w:gridCol w:w="1085"/>
        <w:gridCol w:w="1404"/>
      </w:tblGrid>
      <w:tr w:rsidR="00FB449D" w:rsidRPr="00FB449D" w14:paraId="1A1C1A61" w14:textId="77777777" w:rsidTr="00CC27F1">
        <w:trPr>
          <w:trHeight w:val="312"/>
        </w:trPr>
        <w:tc>
          <w:tcPr>
            <w:tcW w:w="1343" w:type="dxa"/>
            <w:shd w:val="clear" w:color="000000" w:fill="F0F4FA"/>
            <w:noWrap/>
            <w:vAlign w:val="bottom"/>
            <w:hideMark/>
          </w:tcPr>
          <w:p w14:paraId="1B905EAF" w14:textId="77777777" w:rsidR="00FB449D" w:rsidRPr="00FB449D" w:rsidRDefault="00FB449D" w:rsidP="00FB449D">
            <w:pPr>
              <w:spacing w:before="0" w:after="0" w:line="240" w:lineRule="auto"/>
              <w:rPr>
                <w:rFonts w:eastAsia="Times New Roman"/>
                <w:b/>
                <w:bCs/>
                <w:color w:val="000000"/>
                <w:kern w:val="0"/>
                <w14:ligatures w14:val="none"/>
              </w:rPr>
            </w:pPr>
            <w:r w:rsidRPr="00FB449D">
              <w:rPr>
                <w:rFonts w:eastAsia="Times New Roman"/>
                <w:b/>
                <w:bCs/>
                <w:color w:val="000000"/>
                <w:kern w:val="0"/>
                <w:lang w:val="en" w:eastAsia="ja-JP"/>
                <w14:ligatures w14:val="none"/>
              </w:rPr>
              <w:t>Policy Number</w:t>
            </w:r>
          </w:p>
        </w:tc>
        <w:tc>
          <w:tcPr>
            <w:tcW w:w="6392" w:type="dxa"/>
            <w:shd w:val="clear" w:color="000000" w:fill="F0F4FA"/>
            <w:noWrap/>
            <w:vAlign w:val="bottom"/>
            <w:hideMark/>
          </w:tcPr>
          <w:p w14:paraId="0C8D1BBF" w14:textId="77777777" w:rsidR="00FB449D" w:rsidRPr="00FB449D" w:rsidRDefault="00FB449D" w:rsidP="00FB449D">
            <w:pPr>
              <w:spacing w:before="0" w:after="0" w:line="240" w:lineRule="auto"/>
              <w:rPr>
                <w:rFonts w:eastAsia="Times New Roman"/>
                <w:b/>
                <w:bCs/>
                <w:color w:val="000000"/>
                <w:kern w:val="0"/>
                <w14:ligatures w14:val="none"/>
              </w:rPr>
            </w:pPr>
            <w:r w:rsidRPr="00FB449D">
              <w:rPr>
                <w:rFonts w:eastAsia="Times New Roman"/>
                <w:b/>
                <w:bCs/>
                <w:color w:val="000000"/>
                <w:kern w:val="0"/>
                <w:lang w:val="en" w:eastAsia="ja-JP"/>
                <w14:ligatures w14:val="none"/>
              </w:rPr>
              <w:t>Authority</w:t>
            </w:r>
          </w:p>
        </w:tc>
        <w:tc>
          <w:tcPr>
            <w:tcW w:w="1085" w:type="dxa"/>
            <w:shd w:val="clear" w:color="000000" w:fill="F0F4FA"/>
            <w:noWrap/>
            <w:vAlign w:val="bottom"/>
            <w:hideMark/>
          </w:tcPr>
          <w:p w14:paraId="1C6E1C65" w14:textId="77777777" w:rsidR="00FB449D" w:rsidRPr="00FB449D" w:rsidRDefault="00FB449D" w:rsidP="00FB449D">
            <w:pPr>
              <w:spacing w:before="0" w:after="0" w:line="240" w:lineRule="auto"/>
              <w:rPr>
                <w:rFonts w:eastAsia="Times New Roman"/>
                <w:b/>
                <w:bCs/>
                <w:color w:val="000000"/>
                <w:kern w:val="0"/>
                <w14:ligatures w14:val="none"/>
              </w:rPr>
            </w:pPr>
            <w:r w:rsidRPr="00FB449D">
              <w:rPr>
                <w:rFonts w:eastAsia="Times New Roman"/>
                <w:b/>
                <w:bCs/>
                <w:color w:val="000000"/>
                <w:kern w:val="0"/>
                <w:lang w:val="en" w:eastAsia="ja-JP"/>
                <w14:ligatures w14:val="none"/>
              </w:rPr>
              <w:t xml:space="preserve">Scope </w:t>
            </w:r>
          </w:p>
        </w:tc>
        <w:tc>
          <w:tcPr>
            <w:tcW w:w="1404" w:type="dxa"/>
            <w:shd w:val="clear" w:color="000000" w:fill="F0F4FA"/>
            <w:noWrap/>
            <w:vAlign w:val="bottom"/>
            <w:hideMark/>
          </w:tcPr>
          <w:p w14:paraId="47441666" w14:textId="77777777" w:rsidR="00FB449D" w:rsidRPr="00FB449D" w:rsidRDefault="00FB449D" w:rsidP="00FB449D">
            <w:pPr>
              <w:spacing w:before="0" w:after="0" w:line="240" w:lineRule="auto"/>
              <w:rPr>
                <w:rFonts w:eastAsia="Times New Roman"/>
                <w:b/>
                <w:bCs/>
                <w:color w:val="000000"/>
                <w:kern w:val="0"/>
                <w14:ligatures w14:val="none"/>
              </w:rPr>
            </w:pPr>
            <w:r w:rsidRPr="00FB449D">
              <w:rPr>
                <w:rFonts w:eastAsia="Times New Roman"/>
                <w:b/>
                <w:bCs/>
                <w:color w:val="000000"/>
                <w:kern w:val="0"/>
                <w:lang w:val="en" w:eastAsia="ja-JP"/>
                <w14:ligatures w14:val="none"/>
              </w:rPr>
              <w:t>Effective Date</w:t>
            </w:r>
          </w:p>
        </w:tc>
      </w:tr>
      <w:tr w:rsidR="001E5953" w:rsidRPr="00FB449D" w14:paraId="1773D827" w14:textId="77777777" w:rsidTr="00CC27F1">
        <w:trPr>
          <w:trHeight w:val="300"/>
        </w:trPr>
        <w:tc>
          <w:tcPr>
            <w:tcW w:w="1343" w:type="dxa"/>
            <w:shd w:val="clear" w:color="auto" w:fill="auto"/>
            <w:noWrap/>
            <w:vAlign w:val="bottom"/>
            <w:hideMark/>
          </w:tcPr>
          <w:p w14:paraId="432CAE1D" w14:textId="77777777" w:rsidR="001E5953" w:rsidRPr="00FB449D" w:rsidRDefault="001E5953" w:rsidP="001E5953">
            <w:pPr>
              <w:spacing w:before="0" w:after="0" w:line="240" w:lineRule="auto"/>
              <w:rPr>
                <w:rFonts w:eastAsia="Times New Roman"/>
                <w:color w:val="000000"/>
                <w:kern w:val="0"/>
                <w14:ligatures w14:val="none"/>
              </w:rPr>
            </w:pPr>
            <w:r w:rsidRPr="00FB449D">
              <w:rPr>
                <w:rFonts w:eastAsia="Times New Roman"/>
                <w:color w:val="000000"/>
                <w:kern w:val="0"/>
                <w:lang w:val="en" w:eastAsia="ja-JP"/>
                <w14:ligatures w14:val="none"/>
              </w:rPr>
              <w:t>Part A, Chapter 2</w:t>
            </w:r>
          </w:p>
        </w:tc>
        <w:tc>
          <w:tcPr>
            <w:tcW w:w="6392" w:type="dxa"/>
            <w:shd w:val="clear" w:color="auto" w:fill="auto"/>
            <w:noWrap/>
            <w:vAlign w:val="center"/>
            <w:hideMark/>
          </w:tcPr>
          <w:p w14:paraId="24207530" w14:textId="576D45D2" w:rsidR="001E5953" w:rsidRPr="00FB449D" w:rsidRDefault="001E5953" w:rsidP="001E5953">
            <w:pPr>
              <w:spacing w:before="0" w:after="0" w:line="240" w:lineRule="auto"/>
              <w:rPr>
                <w:rFonts w:eastAsia="Times New Roman"/>
                <w:color w:val="000000"/>
                <w:kern w:val="0"/>
                <w14:ligatures w14:val="none"/>
              </w:rPr>
            </w:pPr>
            <w:r w:rsidRPr="003819AC">
              <w:rPr>
                <w:bCs/>
              </w:rPr>
              <w:t xml:space="preserve">The </w:t>
            </w:r>
            <w:hyperlink r:id="rId10" w:history="1">
              <w:r w:rsidRPr="003819AC">
                <w:rPr>
                  <w:rStyle w:val="Hyperlink"/>
                  <w:bCs/>
                </w:rPr>
                <w:t>Rehabilitation Act</w:t>
              </w:r>
            </w:hyperlink>
            <w:r w:rsidRPr="003819AC">
              <w:rPr>
                <w:bCs/>
              </w:rPr>
              <w:t xml:space="preserve"> of 1973, as amended by Title IV of the </w:t>
            </w:r>
            <w:hyperlink r:id="rId11" w:history="1">
              <w:r w:rsidRPr="003819AC">
                <w:rPr>
                  <w:rStyle w:val="Hyperlink"/>
                  <w:bCs/>
                </w:rPr>
                <w:t>Workforce Innovation and Opportunity Act</w:t>
              </w:r>
            </w:hyperlink>
            <w:r w:rsidRPr="003819AC">
              <w:rPr>
                <w:bCs/>
              </w:rPr>
              <w:t xml:space="preserve"> (WIOA), </w:t>
            </w:r>
            <w:hyperlink r:id="rId12" w:history="1">
              <w:r w:rsidRPr="003819AC">
                <w:rPr>
                  <w:rStyle w:val="Hyperlink"/>
                  <w:bCs/>
                </w:rPr>
                <w:t>34 CFR §361</w:t>
              </w:r>
            </w:hyperlink>
            <w:r>
              <w:rPr>
                <w:bCs/>
              </w:rPr>
              <w:t xml:space="preserve">, </w:t>
            </w:r>
            <w:hyperlink r:id="rId13" w:history="1">
              <w:r w:rsidRPr="003819AC">
                <w:rPr>
                  <w:rStyle w:val="Hyperlink"/>
                  <w:bCs/>
                </w:rPr>
                <w:t>§363</w:t>
              </w:r>
            </w:hyperlink>
            <w:r w:rsidRPr="003819AC">
              <w:rPr>
                <w:bCs/>
              </w:rPr>
              <w:t xml:space="preserve">, TWC Rule </w:t>
            </w:r>
            <w:hyperlink r:id="rId14" w:history="1">
              <w:r w:rsidRPr="003819AC">
                <w:rPr>
                  <w:rStyle w:val="Hyperlink"/>
                  <w:bCs/>
                </w:rPr>
                <w:t>§850</w:t>
              </w:r>
            </w:hyperlink>
            <w:r w:rsidRPr="003819AC">
              <w:rPr>
                <w:bCs/>
              </w:rPr>
              <w:t xml:space="preserve">, </w:t>
            </w:r>
            <w:hyperlink r:id="rId15" w:history="1">
              <w:r w:rsidRPr="003819AC">
                <w:rPr>
                  <w:rStyle w:val="Hyperlink"/>
                  <w:bCs/>
                </w:rPr>
                <w:t>§856</w:t>
              </w:r>
            </w:hyperlink>
            <w:r w:rsidRPr="003819AC">
              <w:rPr>
                <w:bCs/>
              </w:rPr>
              <w:t>,</w:t>
            </w:r>
            <w:r>
              <w:rPr>
                <w:bCs/>
              </w:rPr>
              <w:t xml:space="preserve"> and</w:t>
            </w:r>
            <w:r w:rsidRPr="003819AC">
              <w:rPr>
                <w:bCs/>
              </w:rPr>
              <w:t xml:space="preserve"> </w:t>
            </w:r>
            <w:hyperlink r:id="rId16" w:history="1">
              <w:r w:rsidRPr="003819AC">
                <w:rPr>
                  <w:rStyle w:val="Hyperlink"/>
                  <w:bCs/>
                </w:rPr>
                <w:t>§858</w:t>
              </w:r>
            </w:hyperlink>
            <w:r w:rsidRPr="003819AC">
              <w:rPr>
                <w:bCs/>
              </w:rPr>
              <w:t>.</w:t>
            </w:r>
          </w:p>
        </w:tc>
        <w:tc>
          <w:tcPr>
            <w:tcW w:w="1085" w:type="dxa"/>
            <w:shd w:val="clear" w:color="auto" w:fill="auto"/>
            <w:noWrap/>
            <w:vAlign w:val="bottom"/>
            <w:hideMark/>
          </w:tcPr>
          <w:p w14:paraId="0C3C8670" w14:textId="77777777" w:rsidR="001E5953" w:rsidRPr="00FB449D" w:rsidRDefault="001E5953" w:rsidP="001E5953">
            <w:pPr>
              <w:spacing w:before="0" w:after="0" w:line="240" w:lineRule="auto"/>
              <w:rPr>
                <w:rFonts w:eastAsia="Times New Roman"/>
                <w:color w:val="000000"/>
                <w:kern w:val="0"/>
                <w14:ligatures w14:val="none"/>
              </w:rPr>
            </w:pPr>
            <w:r w:rsidRPr="00FB449D">
              <w:rPr>
                <w:rFonts w:eastAsia="Times New Roman"/>
                <w:color w:val="000000"/>
                <w:kern w:val="0"/>
                <w14:ligatures w14:val="none"/>
              </w:rPr>
              <w:t>All TWC-VR staff</w:t>
            </w:r>
          </w:p>
        </w:tc>
        <w:tc>
          <w:tcPr>
            <w:tcW w:w="1404" w:type="dxa"/>
            <w:shd w:val="clear" w:color="auto" w:fill="auto"/>
            <w:noWrap/>
            <w:vAlign w:val="bottom"/>
            <w:hideMark/>
          </w:tcPr>
          <w:p w14:paraId="08FE1B8E" w14:textId="77777777" w:rsidR="001E5953" w:rsidRPr="00FB449D" w:rsidRDefault="001E5953" w:rsidP="001E5953">
            <w:pPr>
              <w:spacing w:before="0" w:after="0" w:line="240" w:lineRule="auto"/>
              <w:jc w:val="right"/>
              <w:rPr>
                <w:rFonts w:eastAsia="Times New Roman"/>
                <w:color w:val="000000"/>
                <w:kern w:val="0"/>
                <w14:ligatures w14:val="none"/>
              </w:rPr>
            </w:pPr>
            <w:r w:rsidRPr="00FB449D">
              <w:rPr>
                <w:rFonts w:eastAsia="Times New Roman"/>
                <w:color w:val="000000"/>
                <w:kern w:val="0"/>
                <w:lang w:val="en" w:eastAsia="ja-JP"/>
                <w14:ligatures w14:val="none"/>
              </w:rPr>
              <w:t>9/3/2024</w:t>
            </w:r>
          </w:p>
        </w:tc>
      </w:tr>
    </w:tbl>
    <w:p w14:paraId="0C6243EA" w14:textId="1B139270" w:rsidR="00995554" w:rsidRPr="00AD4C2A" w:rsidRDefault="00B83A23" w:rsidP="00BC08B1">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11322CD4" w14:textId="77777777" w:rsidR="003819AC" w:rsidRPr="00603BE1" w:rsidRDefault="003819AC" w:rsidP="003819AC">
      <w:pPr>
        <w:spacing w:after="240"/>
      </w:pPr>
      <w:r w:rsidRPr="00DC5EBA">
        <w:t xml:space="preserve">Specifically, the purpose of this policy and these procedures is to ensure adherence </w:t>
      </w:r>
      <w:r w:rsidRPr="00603BE1">
        <w:t xml:space="preserve">to all statutes, regulations, and </w:t>
      </w:r>
      <w:proofErr w:type="spellStart"/>
      <w:r w:rsidRPr="00603BE1">
        <w:t>subregulatory</w:t>
      </w:r>
      <w:proofErr w:type="spellEnd"/>
      <w:r w:rsidRPr="00603BE1">
        <w:t xml:space="preserve"> guidance issued to carry out the requirements of the State Vocational Rehabilitation Services Program and the State Supported Employment Services Program. </w:t>
      </w:r>
    </w:p>
    <w:p w14:paraId="077D4BD0" w14:textId="0E0D9B4E" w:rsidR="00F04098" w:rsidRDefault="00A001F3" w:rsidP="00BC08B1">
      <w:pPr>
        <w:pStyle w:val="Heading2"/>
      </w:pPr>
      <w:r>
        <w:t>DEFINITIONS</w:t>
      </w:r>
    </w:p>
    <w:p w14:paraId="2BA152E0" w14:textId="3F07E149" w:rsidR="00D5593A" w:rsidRPr="00CB2389" w:rsidRDefault="00D5593A" w:rsidP="003819AC">
      <w:r w:rsidRPr="00CB2389">
        <w:t>There are no specific definitions for this policy and these procedures.</w:t>
      </w:r>
    </w:p>
    <w:p w14:paraId="4E38E04F" w14:textId="71203D30" w:rsidR="00A001F3" w:rsidRDefault="00D5593A" w:rsidP="00BC08B1">
      <w:pPr>
        <w:pStyle w:val="Heading2"/>
      </w:pPr>
      <w:r>
        <w:t>POLICY</w:t>
      </w:r>
    </w:p>
    <w:p w14:paraId="6D9D53FA" w14:textId="67AC12AE" w:rsidR="00AE3E47" w:rsidRPr="00FA3AD4" w:rsidRDefault="00A70A13" w:rsidP="00BC08B1">
      <w:pPr>
        <w:pStyle w:val="Heading3"/>
      </w:pPr>
      <w:r w:rsidRPr="00FA3AD4">
        <w:t>General Overview</w:t>
      </w:r>
    </w:p>
    <w:p w14:paraId="0713D024" w14:textId="77777777" w:rsidR="003819AC" w:rsidRPr="00603BE1" w:rsidRDefault="003819AC" w:rsidP="003819AC">
      <w:pPr>
        <w:autoSpaceDE w:val="0"/>
        <w:autoSpaceDN w:val="0"/>
        <w:adjustRightInd w:val="0"/>
      </w:pPr>
      <w:bookmarkStart w:id="1" w:name="_Hlk134721585"/>
      <w:bookmarkStart w:id="2" w:name="_Hlk172473981"/>
      <w:r w:rsidRPr="00603BE1">
        <w:t xml:space="preserve">The purpose of the Vocational Rehabilitation (VR) Program, </w:t>
      </w:r>
      <w:r>
        <w:t>T</w:t>
      </w:r>
      <w:r w:rsidRPr="00603BE1">
        <w:t xml:space="preserve">itle I of the Rehabilitation Act of 1973, as amended by </w:t>
      </w:r>
      <w:r>
        <w:t>T</w:t>
      </w:r>
      <w:r w:rsidRPr="00603BE1">
        <w:t>itle IV of</w:t>
      </w:r>
      <w:r>
        <w:t xml:space="preserve"> </w:t>
      </w:r>
      <w:r w:rsidRPr="00603BE1">
        <w:t>WIOA—</w:t>
      </w:r>
    </w:p>
    <w:p w14:paraId="1E24B572" w14:textId="77777777" w:rsidR="003819AC" w:rsidRPr="009634D1" w:rsidRDefault="003819AC" w:rsidP="009634D1">
      <w:pPr>
        <w:pStyle w:val="ListParagraph"/>
      </w:pPr>
      <w:r w:rsidRPr="009634D1">
        <w:t>To provide a comprehensive, coordinated, effective, efficient, and accountable VR program, which is—</w:t>
      </w:r>
    </w:p>
    <w:p w14:paraId="01518B05" w14:textId="51D4E933" w:rsidR="003819AC" w:rsidRPr="009634D1" w:rsidRDefault="003819AC" w:rsidP="009634D1">
      <w:pPr>
        <w:pStyle w:val="ListParagraph"/>
        <w:numPr>
          <w:ilvl w:val="1"/>
          <w:numId w:val="33"/>
        </w:numPr>
      </w:pPr>
      <w:r w:rsidRPr="009634D1">
        <w:t xml:space="preserve">An integral part of a </w:t>
      </w:r>
      <w:r w:rsidR="004F2C40">
        <w:t>S</w:t>
      </w:r>
      <w:r w:rsidRPr="009634D1">
        <w:t>tate-wide workforce development system; and</w:t>
      </w:r>
    </w:p>
    <w:p w14:paraId="304EDF90" w14:textId="77777777" w:rsidR="003819AC" w:rsidRPr="009634D1" w:rsidRDefault="003819AC" w:rsidP="009634D1">
      <w:pPr>
        <w:pStyle w:val="ListParagraph"/>
        <w:numPr>
          <w:ilvl w:val="1"/>
          <w:numId w:val="33"/>
        </w:numPr>
      </w:pPr>
      <w:r w:rsidRPr="009634D1">
        <w:t>Designed to assess, plan, develop, and provide VR services for individuals with disabilities, consistent with their unique strengths, resources, priorities, concerns, abilities, capabilities, interests, and informed choice so that they may prepare for and engage in competitive integrated employment and achieve economic self-sufficiency.</w:t>
      </w:r>
    </w:p>
    <w:p w14:paraId="62D6E714" w14:textId="24E91CAC" w:rsidR="009634D1" w:rsidRDefault="003819AC" w:rsidP="00BC08B1">
      <w:pPr>
        <w:pStyle w:val="Heading3"/>
      </w:pPr>
      <w:r w:rsidRPr="002D634F">
        <w:lastRenderedPageBreak/>
        <w:t>Competitive Integrated Employment (CIE)</w:t>
      </w:r>
    </w:p>
    <w:p w14:paraId="5CE35940" w14:textId="4D20151D" w:rsidR="003819AC" w:rsidRPr="00603BE1" w:rsidRDefault="003819AC" w:rsidP="009634D1">
      <w:pPr>
        <w:autoSpaceDE w:val="0"/>
        <w:autoSpaceDN w:val="0"/>
        <w:adjustRightInd w:val="0"/>
      </w:pPr>
      <w:r>
        <w:t>CIE is</w:t>
      </w:r>
      <w:r w:rsidRPr="00603BE1">
        <w:t xml:space="preserve"> work that— </w:t>
      </w:r>
    </w:p>
    <w:p w14:paraId="18E3CB99" w14:textId="77777777" w:rsidR="003819AC" w:rsidRPr="009634D1" w:rsidRDefault="003819AC" w:rsidP="009634D1">
      <w:pPr>
        <w:pStyle w:val="ListParagraph"/>
        <w:numPr>
          <w:ilvl w:val="0"/>
          <w:numId w:val="39"/>
        </w:numPr>
      </w:pPr>
      <w:r w:rsidRPr="009634D1">
        <w:t xml:space="preserve">Is performed on a full-time or part-time basis (including self-employment) and for which an individual is compensated at a rate that— </w:t>
      </w:r>
    </w:p>
    <w:p w14:paraId="7606788E" w14:textId="77777777" w:rsidR="003819AC" w:rsidRPr="009634D1" w:rsidRDefault="003819AC" w:rsidP="009634D1">
      <w:pPr>
        <w:pStyle w:val="ListParagraph"/>
        <w:numPr>
          <w:ilvl w:val="1"/>
          <w:numId w:val="33"/>
        </w:numPr>
      </w:pPr>
      <w:r w:rsidRPr="009634D1">
        <w:t>Is not less than the higher of the rate specified in section 6(a)(1) of the Fair Labor Standards Act of 1938 (</w:t>
      </w:r>
      <w:hyperlink r:id="rId17" w:tgtFrame="_blank" w:history="1">
        <w:r w:rsidRPr="009634D1">
          <w:rPr>
            <w:rStyle w:val="Hyperlink"/>
            <w:color w:val="auto"/>
            <w:u w:val="none"/>
          </w:rPr>
          <w:t>29 U.S.C. 206(a)(1)</w:t>
        </w:r>
      </w:hyperlink>
      <w:r w:rsidRPr="009634D1">
        <w:t xml:space="preserve">) or the rate required under the applicable State or local minimum wage law for the place of employment; </w:t>
      </w:r>
    </w:p>
    <w:p w14:paraId="714BE6D4" w14:textId="77777777" w:rsidR="003819AC" w:rsidRPr="009634D1" w:rsidRDefault="003819AC" w:rsidP="009634D1">
      <w:pPr>
        <w:pStyle w:val="ListParagraph"/>
        <w:numPr>
          <w:ilvl w:val="1"/>
          <w:numId w:val="33"/>
        </w:numPr>
      </w:pPr>
      <w:r w:rsidRPr="009634D1">
        <w:t xml:space="preserve">Is not less than the customary rate paid by the employer for the same or similar work performed by other employees who are not individuals with disabilities and who are similarly situated in similar occupations by the same employer and who have similar training, experience, and skills; and </w:t>
      </w:r>
    </w:p>
    <w:p w14:paraId="07E34DFA" w14:textId="77777777" w:rsidR="003819AC" w:rsidRPr="009634D1" w:rsidRDefault="003819AC" w:rsidP="009634D1">
      <w:pPr>
        <w:pStyle w:val="ListParagraph"/>
        <w:numPr>
          <w:ilvl w:val="1"/>
          <w:numId w:val="33"/>
        </w:numPr>
      </w:pPr>
      <w:r w:rsidRPr="009634D1">
        <w:t xml:space="preserve">In the case of an individual who is self-employed, yields an income that is comparable to the income received by other individuals who are not individuals with disabilities and who are self-employed in similar occupations or on similar tasks and who have similar training, experience, and skills; and </w:t>
      </w:r>
    </w:p>
    <w:p w14:paraId="36332625" w14:textId="77777777" w:rsidR="003819AC" w:rsidRPr="009634D1" w:rsidRDefault="003819AC" w:rsidP="009634D1">
      <w:pPr>
        <w:pStyle w:val="ListParagraph"/>
        <w:numPr>
          <w:ilvl w:val="1"/>
          <w:numId w:val="33"/>
        </w:numPr>
      </w:pPr>
      <w:r w:rsidRPr="009634D1">
        <w:t xml:space="preserve">Is eligible for the level of benefits provided to other employees; and </w:t>
      </w:r>
    </w:p>
    <w:p w14:paraId="634B275D" w14:textId="77777777" w:rsidR="003819AC" w:rsidRPr="009634D1" w:rsidRDefault="003819AC" w:rsidP="009634D1">
      <w:pPr>
        <w:pStyle w:val="ListParagraph"/>
      </w:pPr>
      <w:r w:rsidRPr="009634D1">
        <w:t xml:space="preserve">Is at a location— </w:t>
      </w:r>
    </w:p>
    <w:p w14:paraId="55321764" w14:textId="77777777" w:rsidR="003819AC" w:rsidRPr="009634D1" w:rsidRDefault="003819AC" w:rsidP="009634D1">
      <w:pPr>
        <w:pStyle w:val="ListParagraph"/>
        <w:numPr>
          <w:ilvl w:val="1"/>
          <w:numId w:val="33"/>
        </w:numPr>
      </w:pPr>
      <w:r w:rsidRPr="009634D1">
        <w:t xml:space="preserve">Typically found in the community; and </w:t>
      </w:r>
    </w:p>
    <w:p w14:paraId="7DB833C9" w14:textId="77777777" w:rsidR="003819AC" w:rsidRPr="009634D1" w:rsidRDefault="003819AC" w:rsidP="009634D1">
      <w:pPr>
        <w:pStyle w:val="ListParagraph"/>
        <w:numPr>
          <w:ilvl w:val="1"/>
          <w:numId w:val="33"/>
        </w:numPr>
      </w:pPr>
      <w:r w:rsidRPr="009634D1">
        <w:t xml:space="preserve">Where the employee with a disability interacts for the purpose of performing the duties of the position with other employees within the particular work unit and the entire work site, and, as appropriate, to the work performed, other persons (e.g., customers and vendors) who are not individuals with disabilities (excluding supervisory personnel or individuals who are providing services to such employee) to the same extent that employees who are not individuals with disabilities and who are in comparable positions interact with these persons; and </w:t>
      </w:r>
    </w:p>
    <w:p w14:paraId="1EA7ABC5" w14:textId="77777777" w:rsidR="003819AC" w:rsidRPr="009634D1" w:rsidRDefault="003819AC" w:rsidP="009634D1">
      <w:pPr>
        <w:pStyle w:val="ListParagraph"/>
      </w:pPr>
      <w:r w:rsidRPr="009634D1">
        <w:t>Presents, as appropriate, opportunities for advancement that are similar to those for other employees who are not individuals with disabilities and who have similar positions.</w:t>
      </w:r>
    </w:p>
    <w:p w14:paraId="217560E3" w14:textId="77777777" w:rsidR="003819AC" w:rsidRPr="009634D1" w:rsidRDefault="003819AC" w:rsidP="009634D1">
      <w:r w:rsidRPr="009634D1">
        <w:t>TWC-VR supports a variety of CIE types, including Self-Employment, Randolph-Sheppard Business Enterprises of Texas Program (BET), and Supported Employment in CIE.</w:t>
      </w:r>
    </w:p>
    <w:p w14:paraId="10E2317B" w14:textId="6AA824C1" w:rsidR="009634D1" w:rsidRPr="009634D1" w:rsidRDefault="003819AC" w:rsidP="00BC08B1">
      <w:pPr>
        <w:pStyle w:val="Heading3"/>
      </w:pPr>
      <w:bookmarkStart w:id="3" w:name="_Hlk134721480"/>
      <w:r w:rsidRPr="00603BE1">
        <w:t>Exceptions to Policy</w:t>
      </w:r>
      <w:bookmarkEnd w:id="1"/>
      <w:bookmarkEnd w:id="3"/>
    </w:p>
    <w:p w14:paraId="2F12A069" w14:textId="118AB22D" w:rsidR="003819AC" w:rsidRPr="00603BE1" w:rsidRDefault="003819AC" w:rsidP="009634D1">
      <w:pPr>
        <w:autoSpaceDE w:val="0"/>
        <w:autoSpaceDN w:val="0"/>
        <w:adjustRightInd w:val="0"/>
      </w:pPr>
      <w:r w:rsidRPr="002930E4">
        <w:t xml:space="preserve">When necessary to meet the VR needs of a customer, TWC-VR staff members may request exceptions to policies and procedures through their chain of management up to the Deputy Division Director of Field Services Delivery, or designee. However, exceptions to policies and </w:t>
      </w:r>
      <w:r w:rsidRPr="002930E4">
        <w:lastRenderedPageBreak/>
        <w:t>procedures based on Federal and State laws, statutes, and rules or regulations are not allowable.</w:t>
      </w:r>
    </w:p>
    <w:p w14:paraId="78A09B9B" w14:textId="77777777" w:rsidR="003819AC" w:rsidRPr="00186A8D" w:rsidRDefault="003819AC" w:rsidP="00BC08B1">
      <w:pPr>
        <w:pStyle w:val="Heading2"/>
      </w:pPr>
      <w:r>
        <w:t>PROCEDURES</w:t>
      </w:r>
    </w:p>
    <w:p w14:paraId="447E83BE" w14:textId="784AADC0" w:rsidR="003819AC" w:rsidRPr="002D634F" w:rsidRDefault="003819AC" w:rsidP="00BC08B1">
      <w:pPr>
        <w:pStyle w:val="Heading3"/>
        <w:numPr>
          <w:ilvl w:val="0"/>
          <w:numId w:val="40"/>
        </w:numPr>
      </w:pPr>
      <w:bookmarkStart w:id="4" w:name="_Hlk134721672"/>
      <w:r w:rsidRPr="002D634F">
        <w:t>Requesting Exceptions to Policies in This Manual</w:t>
      </w:r>
    </w:p>
    <w:p w14:paraId="4490E25F" w14:textId="77777777" w:rsidR="003819AC" w:rsidRPr="009634D1" w:rsidRDefault="003819AC" w:rsidP="009634D1">
      <w:pPr>
        <w:pStyle w:val="ListParagraph"/>
        <w:numPr>
          <w:ilvl w:val="0"/>
          <w:numId w:val="41"/>
        </w:numPr>
      </w:pPr>
      <w:r w:rsidRPr="009634D1">
        <w:t>Refer to the respective chapters of the VRSM.</w:t>
      </w:r>
    </w:p>
    <w:p w14:paraId="054921E5" w14:textId="77777777" w:rsidR="003819AC" w:rsidRPr="009634D1" w:rsidRDefault="003819AC" w:rsidP="009634D1">
      <w:pPr>
        <w:pStyle w:val="ListParagraph"/>
      </w:pPr>
      <w:r w:rsidRPr="009634D1">
        <w:t>When there is a clearly demonstrated vocational need that cannot be approved at the local TWC-VR office, the VR Counselor discusses the circumstances with the VR Supervisor, VR Manager, and/or a Regional or State Office Program Specialist. Together, they determine whether there is justification for requesting an exception to published policies and procedures.</w:t>
      </w:r>
    </w:p>
    <w:p w14:paraId="61A5F753" w14:textId="77777777" w:rsidR="003819AC" w:rsidRPr="009634D1" w:rsidRDefault="003819AC" w:rsidP="009634D1">
      <w:pPr>
        <w:pStyle w:val="ListParagraph"/>
      </w:pPr>
      <w:r w:rsidRPr="009634D1">
        <w:t>If the need is determined appropriate, the VR Counselor sends a request for an exception to policies and procedures through their chain of management to the Deputy Division Director for Field Services Delivery for consideration.</w:t>
      </w:r>
    </w:p>
    <w:bookmarkEnd w:id="4"/>
    <w:p w14:paraId="370E20A4" w14:textId="77777777" w:rsidR="003819AC" w:rsidRPr="0054062B" w:rsidRDefault="003819AC" w:rsidP="00BC08B1">
      <w:pPr>
        <w:pStyle w:val="Heading2"/>
      </w:pPr>
      <w:r w:rsidRPr="0054062B">
        <w:t>APPROVALS &amp; CONSULTATIONS</w:t>
      </w:r>
    </w:p>
    <w:p w14:paraId="3407063A" w14:textId="77777777" w:rsidR="003819AC" w:rsidRPr="00B464CD" w:rsidRDefault="003819AC" w:rsidP="003819AC">
      <w:r w:rsidRPr="00B464CD">
        <w:t xml:space="preserve">There are no </w:t>
      </w:r>
      <w:r>
        <w:t>approvals or consultations</w:t>
      </w:r>
      <w:r w:rsidRPr="00B464CD">
        <w:t xml:space="preserve"> for this policy and these procedures.</w:t>
      </w:r>
    </w:p>
    <w:bookmarkEnd w:id="0"/>
    <w:bookmarkEnd w:id="2"/>
    <w:p w14:paraId="2357F45E" w14:textId="77777777" w:rsidR="00AD6611" w:rsidRPr="009D5287" w:rsidRDefault="00AD6611" w:rsidP="00AD6611">
      <w:pPr>
        <w:keepNext/>
        <w:keepLines/>
        <w:spacing w:before="240" w:after="80"/>
        <w:outlineLvl w:val="1"/>
        <w:rPr>
          <w:rFonts w:eastAsiaTheme="majorEastAsia"/>
          <w:b/>
          <w:bCs/>
          <w:color w:val="222D69" w:themeColor="accent1"/>
          <w:sz w:val="36"/>
          <w:szCs w:val="36"/>
        </w:rPr>
      </w:pPr>
      <w:r w:rsidRPr="009D5287">
        <w:rPr>
          <w:rFonts w:eastAsiaTheme="majorEastAsia"/>
          <w:b/>
          <w:bCs/>
          <w:color w:val="222D69" w:themeColor="accent1"/>
          <w:sz w:val="36"/>
          <w:szCs w:val="36"/>
        </w:rPr>
        <w:t>REVIEW</w:t>
      </w:r>
    </w:p>
    <w:p w14:paraId="00468AA0" w14:textId="77777777" w:rsidR="00AD6611" w:rsidRPr="009D5287" w:rsidRDefault="00AD6611" w:rsidP="00AD6611">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AD6611" w:rsidRPr="009D5287" w14:paraId="3B3CA94B" w14:textId="77777777" w:rsidTr="004E2DF6">
        <w:tc>
          <w:tcPr>
            <w:tcW w:w="1861" w:type="dxa"/>
            <w:shd w:val="clear" w:color="auto" w:fill="F0F4FA" w:themeFill="accent4"/>
            <w:vAlign w:val="center"/>
          </w:tcPr>
          <w:p w14:paraId="2D40D2C0" w14:textId="77777777" w:rsidR="00AD6611" w:rsidRPr="009D5287" w:rsidRDefault="00AD6611" w:rsidP="004E2DF6">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03" w:type="dxa"/>
            <w:shd w:val="clear" w:color="auto" w:fill="F0F4FA" w:themeFill="accent4"/>
          </w:tcPr>
          <w:p w14:paraId="2AE1D330" w14:textId="77777777" w:rsidR="00AD6611" w:rsidRPr="009D5287" w:rsidRDefault="00AD6611" w:rsidP="004E2DF6">
            <w:pPr>
              <w:rPr>
                <w:b/>
                <w:lang w:val="en" w:eastAsia="ja-JP"/>
              </w:rPr>
            </w:pPr>
            <w:r w:rsidRPr="009D5287">
              <w:rPr>
                <w:b/>
                <w:lang w:val="en" w:eastAsia="ja-JP"/>
              </w:rPr>
              <w:t>Type</w:t>
            </w:r>
          </w:p>
        </w:tc>
        <w:tc>
          <w:tcPr>
            <w:tcW w:w="7350" w:type="dxa"/>
            <w:shd w:val="clear" w:color="auto" w:fill="F0F4FA" w:themeFill="accent4"/>
            <w:vAlign w:val="center"/>
          </w:tcPr>
          <w:p w14:paraId="346FAC95" w14:textId="77777777" w:rsidR="00AD6611" w:rsidRPr="009D5287" w:rsidRDefault="00AD6611" w:rsidP="004E2DF6">
            <w:pPr>
              <w:rPr>
                <w:b/>
                <w:lang w:val="en" w:eastAsia="ja-JP"/>
              </w:rPr>
            </w:pPr>
            <w:r w:rsidRPr="009D5287">
              <w:rPr>
                <w:b/>
                <w:lang w:val="en" w:eastAsia="ja-JP"/>
              </w:rPr>
              <w:t>Change Description</w:t>
            </w:r>
          </w:p>
        </w:tc>
      </w:tr>
      <w:tr w:rsidR="00AD6611" w:rsidRPr="009D5287" w14:paraId="249647D9" w14:textId="77777777" w:rsidTr="004E2DF6">
        <w:tc>
          <w:tcPr>
            <w:tcW w:w="1861" w:type="dxa"/>
          </w:tcPr>
          <w:p w14:paraId="213781EF" w14:textId="77777777" w:rsidR="00AD6611" w:rsidRPr="009D5287" w:rsidRDefault="00AD6611" w:rsidP="004E2DF6">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03" w:type="dxa"/>
          </w:tcPr>
          <w:p w14:paraId="69805F93" w14:textId="77777777" w:rsidR="00AD6611" w:rsidRPr="009D5287" w:rsidRDefault="00AD6611" w:rsidP="004E2DF6">
            <w:r w:rsidRPr="009D5287">
              <w:t>New</w:t>
            </w:r>
          </w:p>
        </w:tc>
        <w:tc>
          <w:tcPr>
            <w:tcW w:w="7350" w:type="dxa"/>
          </w:tcPr>
          <w:p w14:paraId="7CDF7B9E" w14:textId="77777777" w:rsidR="00AD6611" w:rsidRPr="009D5287" w:rsidRDefault="00AD6611" w:rsidP="004E2DF6">
            <w:pPr>
              <w:rPr>
                <w:lang w:val="en" w:eastAsia="ja-JP"/>
              </w:rPr>
            </w:pPr>
            <w:r w:rsidRPr="009D5287">
              <w:t>VRSM Policy and Procedure Rewrite</w:t>
            </w:r>
          </w:p>
        </w:tc>
      </w:tr>
    </w:tbl>
    <w:p w14:paraId="5EB73B5E" w14:textId="3FF0AA97" w:rsidR="001901F0" w:rsidRPr="00E57035" w:rsidRDefault="001901F0" w:rsidP="00895186">
      <w:pPr>
        <w:rPr>
          <w:color w:val="C00000"/>
        </w:rPr>
      </w:pPr>
    </w:p>
    <w:sectPr w:rsidR="001901F0" w:rsidRPr="00E57035" w:rsidSect="00F82376">
      <w:headerReference w:type="default" r:id="rId18"/>
      <w:footerReference w:type="default" r:id="rId19"/>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A1EE8" w14:textId="77777777" w:rsidR="00777DF5" w:rsidRDefault="00777DF5" w:rsidP="00895186">
      <w:r>
        <w:separator/>
      </w:r>
    </w:p>
  </w:endnote>
  <w:endnote w:type="continuationSeparator" w:id="0">
    <w:p w14:paraId="45F882BB" w14:textId="77777777" w:rsidR="00777DF5" w:rsidRDefault="00777DF5" w:rsidP="00895186">
      <w:r>
        <w:continuationSeparator/>
      </w:r>
    </w:p>
  </w:endnote>
  <w:endnote w:type="continuationNotice" w:id="1">
    <w:p w14:paraId="08F75E16" w14:textId="77777777" w:rsidR="00433E8A" w:rsidRDefault="00433E8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23F992FF" w:rsidR="00B24E6C" w:rsidRDefault="009634D1" w:rsidP="00895186">
    <w:pPr>
      <w:pStyle w:val="Footer"/>
    </w:pPr>
    <w:r>
      <w:rPr>
        <w:noProof/>
      </w:rPr>
      <mc:AlternateContent>
        <mc:Choice Requires="wps">
          <w:drawing>
            <wp:anchor distT="0" distB="0" distL="114300" distR="114300" simplePos="0" relativeHeight="251658242" behindDoc="0" locked="0" layoutInCell="1" allowOverlap="1" wp14:anchorId="00B0B3F3" wp14:editId="329FC7F2">
              <wp:simplePos x="0" y="0"/>
              <wp:positionH relativeFrom="column">
                <wp:posOffset>-374015</wp:posOffset>
              </wp:positionH>
              <wp:positionV relativeFrom="paragraph">
                <wp:posOffset>5715</wp:posOffset>
              </wp:positionV>
              <wp:extent cx="419608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196080" cy="488950"/>
                      </a:xfrm>
                      <a:prstGeom prst="rect">
                        <a:avLst/>
                      </a:prstGeom>
                      <a:noFill/>
                      <a:ln w="6350">
                        <a:noFill/>
                      </a:ln>
                    </wps:spPr>
                    <wps:txbx>
                      <w:txbxContent>
                        <w:p w14:paraId="25686EF3" w14:textId="529ECA3B" w:rsidR="00501E08" w:rsidRPr="00501E08" w:rsidRDefault="009634D1" w:rsidP="00895186">
                          <w:r>
                            <w:t>Part A, Chapter 2: Legal Authority and 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330.4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" filled="f" stroked="f" strokeweight=".5pt">
              <v:textbox>
                <w:txbxContent>
                  <w:p w14:paraId="25686EF3" w14:textId="529ECA3B" w:rsidR="00501E08" w:rsidRPr="00501E08" w:rsidRDefault="009634D1" w:rsidP="00895186">
                    <w:r>
                      <w:t>Part A, Chapter 2: Legal Authority and Purpose</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563A5F0F">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D20CE" w14:textId="77777777" w:rsidR="00777DF5" w:rsidRDefault="00777DF5" w:rsidP="00895186">
      <w:r>
        <w:separator/>
      </w:r>
    </w:p>
  </w:footnote>
  <w:footnote w:type="continuationSeparator" w:id="0">
    <w:p w14:paraId="4E9A5F63" w14:textId="77777777" w:rsidR="00777DF5" w:rsidRDefault="00777DF5" w:rsidP="00895186">
      <w:r>
        <w:continuationSeparator/>
      </w:r>
    </w:p>
  </w:footnote>
  <w:footnote w:type="continuationNotice" w:id="1">
    <w:p w14:paraId="4B5D849C" w14:textId="77777777" w:rsidR="00433E8A" w:rsidRDefault="00433E8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1"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3"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4"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19"/>
  </w:num>
  <w:num w:numId="2" w16cid:durableId="620455520">
    <w:abstractNumId w:val="0"/>
  </w:num>
  <w:num w:numId="3" w16cid:durableId="943148761">
    <w:abstractNumId w:val="15"/>
  </w:num>
  <w:num w:numId="4" w16cid:durableId="109056539">
    <w:abstractNumId w:val="28"/>
  </w:num>
  <w:num w:numId="5" w16cid:durableId="1893686843">
    <w:abstractNumId w:val="20"/>
  </w:num>
  <w:num w:numId="6" w16cid:durableId="760954600">
    <w:abstractNumId w:val="23"/>
  </w:num>
  <w:num w:numId="7" w16cid:durableId="1429428784">
    <w:abstractNumId w:val="12"/>
  </w:num>
  <w:num w:numId="8" w16cid:durableId="436485834">
    <w:abstractNumId w:val="7"/>
  </w:num>
  <w:num w:numId="9" w16cid:durableId="127362230">
    <w:abstractNumId w:val="4"/>
  </w:num>
  <w:num w:numId="10" w16cid:durableId="1604805518">
    <w:abstractNumId w:val="5"/>
  </w:num>
  <w:num w:numId="11" w16cid:durableId="1256401764">
    <w:abstractNumId w:val="24"/>
  </w:num>
  <w:num w:numId="12" w16cid:durableId="1548175440">
    <w:abstractNumId w:val="29"/>
  </w:num>
  <w:num w:numId="13" w16cid:durableId="975644156">
    <w:abstractNumId w:val="6"/>
  </w:num>
  <w:num w:numId="14" w16cid:durableId="2099713293">
    <w:abstractNumId w:val="17"/>
  </w:num>
  <w:num w:numId="15" w16cid:durableId="1594316770">
    <w:abstractNumId w:val="21"/>
  </w:num>
  <w:num w:numId="16" w16cid:durableId="700741873">
    <w:abstractNumId w:val="26"/>
  </w:num>
  <w:num w:numId="17" w16cid:durableId="1651835230">
    <w:abstractNumId w:val="16"/>
  </w:num>
  <w:num w:numId="18" w16cid:durableId="883299119">
    <w:abstractNumId w:val="27"/>
  </w:num>
  <w:num w:numId="19" w16cid:durableId="84305632">
    <w:abstractNumId w:val="11"/>
  </w:num>
  <w:num w:numId="20" w16cid:durableId="1057705478">
    <w:abstractNumId w:val="31"/>
  </w:num>
  <w:num w:numId="21" w16cid:durableId="96758055">
    <w:abstractNumId w:val="22"/>
  </w:num>
  <w:num w:numId="22" w16cid:durableId="722797963">
    <w:abstractNumId w:val="8"/>
  </w:num>
  <w:num w:numId="23" w16cid:durableId="1638485069">
    <w:abstractNumId w:val="14"/>
  </w:num>
  <w:num w:numId="24" w16cid:durableId="1439984590">
    <w:abstractNumId w:val="31"/>
    <w:lvlOverride w:ilvl="0">
      <w:startOverride w:val="1"/>
    </w:lvlOverride>
  </w:num>
  <w:num w:numId="25" w16cid:durableId="460730897">
    <w:abstractNumId w:val="9"/>
  </w:num>
  <w:num w:numId="26" w16cid:durableId="1377244451">
    <w:abstractNumId w:val="1"/>
  </w:num>
  <w:num w:numId="27" w16cid:durableId="30420175">
    <w:abstractNumId w:val="13"/>
  </w:num>
  <w:num w:numId="28" w16cid:durableId="763261832">
    <w:abstractNumId w:val="2"/>
  </w:num>
  <w:num w:numId="29" w16cid:durableId="1268929695">
    <w:abstractNumId w:val="13"/>
    <w:lvlOverride w:ilvl="0">
      <w:startOverride w:val="1"/>
    </w:lvlOverride>
  </w:num>
  <w:num w:numId="30" w16cid:durableId="1510757688">
    <w:abstractNumId w:val="13"/>
  </w:num>
  <w:num w:numId="31" w16cid:durableId="1760524021">
    <w:abstractNumId w:val="32"/>
  </w:num>
  <w:num w:numId="32" w16cid:durableId="191573243">
    <w:abstractNumId w:val="25"/>
  </w:num>
  <w:num w:numId="33" w16cid:durableId="718751240">
    <w:abstractNumId w:val="3"/>
  </w:num>
  <w:num w:numId="34" w16cid:durableId="1367289556">
    <w:abstractNumId w:val="18"/>
  </w:num>
  <w:num w:numId="35" w16cid:durableId="1934777624">
    <w:abstractNumId w:val="10"/>
  </w:num>
  <w:num w:numId="36" w16cid:durableId="1647272484">
    <w:abstractNumId w:val="30"/>
  </w:num>
  <w:num w:numId="37" w16cid:durableId="1327826153">
    <w:abstractNumId w:val="13"/>
    <w:lvlOverride w:ilvl="0">
      <w:startOverride w:val="1"/>
    </w:lvlOverride>
  </w:num>
  <w:num w:numId="38" w16cid:durableId="144202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58614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85596228">
    <w:abstractNumId w:val="13"/>
    <w:lvlOverride w:ilvl="0">
      <w:startOverride w:val="1"/>
    </w:lvlOverride>
  </w:num>
  <w:num w:numId="41" w16cid:durableId="13758150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231"/>
    <w:rsid w:val="000B3B97"/>
    <w:rsid w:val="000B6B09"/>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595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81A"/>
    <w:rsid w:val="00291D54"/>
    <w:rsid w:val="00296EE9"/>
    <w:rsid w:val="002A345C"/>
    <w:rsid w:val="002B3B60"/>
    <w:rsid w:val="002C0046"/>
    <w:rsid w:val="002E0AF2"/>
    <w:rsid w:val="002F3A16"/>
    <w:rsid w:val="002F7604"/>
    <w:rsid w:val="003155F3"/>
    <w:rsid w:val="0032795D"/>
    <w:rsid w:val="00330015"/>
    <w:rsid w:val="0033181C"/>
    <w:rsid w:val="00340B05"/>
    <w:rsid w:val="003500F1"/>
    <w:rsid w:val="00380C78"/>
    <w:rsid w:val="003819AC"/>
    <w:rsid w:val="00381C86"/>
    <w:rsid w:val="00387B68"/>
    <w:rsid w:val="00387F8D"/>
    <w:rsid w:val="003B11A4"/>
    <w:rsid w:val="003D44B3"/>
    <w:rsid w:val="003E1761"/>
    <w:rsid w:val="00414B84"/>
    <w:rsid w:val="00417839"/>
    <w:rsid w:val="00420B1A"/>
    <w:rsid w:val="00422F66"/>
    <w:rsid w:val="00433E8A"/>
    <w:rsid w:val="00437552"/>
    <w:rsid w:val="0044342D"/>
    <w:rsid w:val="00472E58"/>
    <w:rsid w:val="00473095"/>
    <w:rsid w:val="0049537E"/>
    <w:rsid w:val="004E6008"/>
    <w:rsid w:val="004F2C40"/>
    <w:rsid w:val="00501E08"/>
    <w:rsid w:val="00507766"/>
    <w:rsid w:val="00507EDE"/>
    <w:rsid w:val="005349DD"/>
    <w:rsid w:val="00555595"/>
    <w:rsid w:val="005735AB"/>
    <w:rsid w:val="0057562C"/>
    <w:rsid w:val="00580991"/>
    <w:rsid w:val="005820F2"/>
    <w:rsid w:val="00590E50"/>
    <w:rsid w:val="005A5B07"/>
    <w:rsid w:val="005B1174"/>
    <w:rsid w:val="005D431C"/>
    <w:rsid w:val="005E1C5F"/>
    <w:rsid w:val="005E363C"/>
    <w:rsid w:val="005F0E52"/>
    <w:rsid w:val="00602597"/>
    <w:rsid w:val="006300DD"/>
    <w:rsid w:val="00663892"/>
    <w:rsid w:val="006822AE"/>
    <w:rsid w:val="00684E9F"/>
    <w:rsid w:val="006954F2"/>
    <w:rsid w:val="006A31FA"/>
    <w:rsid w:val="006B0167"/>
    <w:rsid w:val="006D108A"/>
    <w:rsid w:val="006D7231"/>
    <w:rsid w:val="006F605F"/>
    <w:rsid w:val="00700604"/>
    <w:rsid w:val="00701EDA"/>
    <w:rsid w:val="007253AC"/>
    <w:rsid w:val="00732372"/>
    <w:rsid w:val="00737F40"/>
    <w:rsid w:val="007400FF"/>
    <w:rsid w:val="00741295"/>
    <w:rsid w:val="00750D22"/>
    <w:rsid w:val="00777DF5"/>
    <w:rsid w:val="00781378"/>
    <w:rsid w:val="00785189"/>
    <w:rsid w:val="00797255"/>
    <w:rsid w:val="007C2A47"/>
    <w:rsid w:val="007D6F90"/>
    <w:rsid w:val="007F608C"/>
    <w:rsid w:val="008021D5"/>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322A"/>
    <w:rsid w:val="008B46E0"/>
    <w:rsid w:val="008D77B1"/>
    <w:rsid w:val="008E0E02"/>
    <w:rsid w:val="008E4387"/>
    <w:rsid w:val="008E7E48"/>
    <w:rsid w:val="008F1BE2"/>
    <w:rsid w:val="009033A9"/>
    <w:rsid w:val="00907247"/>
    <w:rsid w:val="009201F6"/>
    <w:rsid w:val="00925A41"/>
    <w:rsid w:val="00925B3F"/>
    <w:rsid w:val="00934027"/>
    <w:rsid w:val="00934E2F"/>
    <w:rsid w:val="0094174B"/>
    <w:rsid w:val="0095013C"/>
    <w:rsid w:val="00962B98"/>
    <w:rsid w:val="009634D1"/>
    <w:rsid w:val="00984C14"/>
    <w:rsid w:val="00986961"/>
    <w:rsid w:val="00995554"/>
    <w:rsid w:val="009B3100"/>
    <w:rsid w:val="009F4153"/>
    <w:rsid w:val="00A001F3"/>
    <w:rsid w:val="00A276C5"/>
    <w:rsid w:val="00A4148F"/>
    <w:rsid w:val="00A53108"/>
    <w:rsid w:val="00A70A13"/>
    <w:rsid w:val="00A70A57"/>
    <w:rsid w:val="00A81DE6"/>
    <w:rsid w:val="00AA1208"/>
    <w:rsid w:val="00AA1D64"/>
    <w:rsid w:val="00AB7064"/>
    <w:rsid w:val="00AC49D4"/>
    <w:rsid w:val="00AD3BBC"/>
    <w:rsid w:val="00AD4C2A"/>
    <w:rsid w:val="00AD6611"/>
    <w:rsid w:val="00AD6C5A"/>
    <w:rsid w:val="00AE3E47"/>
    <w:rsid w:val="00AF2E87"/>
    <w:rsid w:val="00B01FA6"/>
    <w:rsid w:val="00B23B90"/>
    <w:rsid w:val="00B24E6C"/>
    <w:rsid w:val="00B4029A"/>
    <w:rsid w:val="00B43849"/>
    <w:rsid w:val="00B51052"/>
    <w:rsid w:val="00B53ADD"/>
    <w:rsid w:val="00B63DC8"/>
    <w:rsid w:val="00B83A23"/>
    <w:rsid w:val="00BA2C02"/>
    <w:rsid w:val="00BB1B54"/>
    <w:rsid w:val="00BC08B1"/>
    <w:rsid w:val="00BD0F74"/>
    <w:rsid w:val="00C04FAF"/>
    <w:rsid w:val="00C179E1"/>
    <w:rsid w:val="00C352AB"/>
    <w:rsid w:val="00C52486"/>
    <w:rsid w:val="00C57B6D"/>
    <w:rsid w:val="00C71AE5"/>
    <w:rsid w:val="00C759E8"/>
    <w:rsid w:val="00CA6FBB"/>
    <w:rsid w:val="00CB2389"/>
    <w:rsid w:val="00CB2C12"/>
    <w:rsid w:val="00CB3FD2"/>
    <w:rsid w:val="00CB5436"/>
    <w:rsid w:val="00CC27F1"/>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F55C3"/>
    <w:rsid w:val="00F01C9E"/>
    <w:rsid w:val="00F0306B"/>
    <w:rsid w:val="00F04098"/>
    <w:rsid w:val="00F1048D"/>
    <w:rsid w:val="00F21255"/>
    <w:rsid w:val="00F35103"/>
    <w:rsid w:val="00F36D8F"/>
    <w:rsid w:val="00F54EFD"/>
    <w:rsid w:val="00F5573C"/>
    <w:rsid w:val="00F615A4"/>
    <w:rsid w:val="00F63D84"/>
    <w:rsid w:val="00F82376"/>
    <w:rsid w:val="00FA3AD4"/>
    <w:rsid w:val="00FB3EB4"/>
    <w:rsid w:val="00FB449D"/>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BC08B1"/>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BC08B1"/>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3819AC"/>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41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urrent/title-34/part-36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cfr.gov/current/title-34/part-361" TargetMode="External"/><Relationship Id="rId17" Type="http://schemas.openxmlformats.org/officeDocument/2006/relationships/hyperlink" Target="https://www.govinfo.gov/link/uscode/29/206" TargetMode="External"/><Relationship Id="rId2" Type="http://schemas.openxmlformats.org/officeDocument/2006/relationships/customXml" Target="../customXml/item2.xml"/><Relationship Id="rId16" Type="http://schemas.openxmlformats.org/officeDocument/2006/relationships/hyperlink" Target="https://texreg.sos.state.tx.us/public/readtac$ext.ViewTAC?tac_view=4&amp;ti=40&amp;pt=20&amp;ch=858&amp;rl=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sa.ed.gov/sites/default/files/downloads/wioa.pdf" TargetMode="External"/><Relationship Id="rId5" Type="http://schemas.openxmlformats.org/officeDocument/2006/relationships/styles" Target="styles.xml"/><Relationship Id="rId15" Type="http://schemas.openxmlformats.org/officeDocument/2006/relationships/hyperlink" Target="https://texreg.sos.state.tx.us/public/readtac$ext.ViewTAC?tac_view=4&amp;ti=40&amp;pt=20&amp;ch=856" TargetMode="External"/><Relationship Id="rId10" Type="http://schemas.openxmlformats.org/officeDocument/2006/relationships/hyperlink" Target="https://rsa.ed.gov/sites/default/files/downloads/rehabilitation-act-of-1973-amended-by-wioa.pdf"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xreg.sos.state.tx.us/public/readtac$ext.ViewTAC?tac_view=4&amp;ti=40&amp;pt=20&amp;ch=85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8-14-24 HJC added borders</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2DECA362-AFE0-44B0-AC7C-08BD710F2153}">
  <ds:schemaRefs>
    <ds:schemaRef ds:uri="http://schemas.microsoft.com/sharepoint/v3/contenttype/forms"/>
  </ds:schemaRefs>
</ds:datastoreItem>
</file>

<file path=customXml/itemProps2.xml><?xml version="1.0" encoding="utf-8"?>
<ds:datastoreItem xmlns:ds="http://schemas.openxmlformats.org/officeDocument/2006/customXml" ds:itemID="{D0F359C4-58A5-4F69-A55B-A8E8E1FF2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13654-28A1-4BA7-B485-F08C7BCA868E}">
  <ds:schemaRefs>
    <ds:schemaRef ds:uri="http://www.w3.org/XML/1998/namespace"/>
    <ds:schemaRef ds:uri="http://purl.org/dc/terms/"/>
    <ds:schemaRef ds:uri="http://schemas.openxmlformats.org/package/2006/metadata/core-properties"/>
    <ds:schemaRef ds:uri="http://purl.org/dc/elements/1.1/"/>
    <ds:schemaRef ds:uri="041c5daf-9d3a-4e9a-b660-f4ef0b4e5805"/>
    <ds:schemaRef ds:uri="http://schemas.microsoft.com/office/2006/documentManagement/types"/>
    <ds:schemaRef ds:uri="http://schemas.microsoft.com/office/infopath/2007/PartnerControls"/>
    <ds:schemaRef ds:uri="58825e9e-cc90-40c0-979d-f08666619410"/>
    <ds:schemaRef ds:uri="6bfde61a-94c1-42db-b4d1-79e5b3c6adc0"/>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A, Chapter 2 - Legal Authority and Purpose</dc:title>
  <dc:subject/>
  <dc:creator>TWC-VR</dc:creator>
  <cp:keywords>Texas Workforce Commission Vocational Rehabilitation Services Manual (VRSM) policy</cp:keywords>
  <dc:description/>
  <cp:lastModifiedBy>Cooke,Heather J</cp:lastModifiedBy>
  <cp:revision>16</cp:revision>
  <dcterms:created xsi:type="dcterms:W3CDTF">2024-07-24T18:52:00Z</dcterms:created>
  <dcterms:modified xsi:type="dcterms:W3CDTF">2024-08-15T16:37:00Z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