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288" w:bottomFromText="346" w:vertAnchor="page" w:horzAnchor="page" w:tblpX="9678" w:tblpY="86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missioners and Executive Director"/>
        <w:tblDescription w:val="Bryan Daniel, Chairman&#10;Commissioner Representing&#10;the Public&#10;Alberto Treviño III&#10;Commissioner Representing&#10;Labor&#10;Joe Esparza&#10;Commissioner Representing&#10;Employers&#10;Edward Serna&#10;Executive Director"/>
      </w:tblPr>
      <w:tblGrid>
        <w:gridCol w:w="2245"/>
      </w:tblGrid>
      <w:tr w:rsidR="002A26B1" w14:paraId="242295B3" w14:textId="77777777" w:rsidTr="0063297E">
        <w:tc>
          <w:tcPr>
            <w:tcW w:w="2245" w:type="dxa"/>
          </w:tcPr>
          <w:p w14:paraId="24CB3E52" w14:textId="77777777" w:rsidR="002A26B1" w:rsidRPr="00D2197C" w:rsidRDefault="002A26B1" w:rsidP="0063297E">
            <w:pPr>
              <w:pStyle w:val="BodyText"/>
              <w:rPr>
                <w:color w:val="001B74"/>
                <w:sz w:val="16"/>
                <w:szCs w:val="16"/>
              </w:rPr>
            </w:pPr>
            <w:bookmarkStart w:id="0" w:name="_Hlk152665044"/>
            <w:bookmarkEnd w:id="0"/>
            <w:r w:rsidRPr="00D2197C">
              <w:rPr>
                <w:color w:val="001B74"/>
                <w:sz w:val="16"/>
                <w:szCs w:val="16"/>
              </w:rPr>
              <w:t>Bryan</w:t>
            </w:r>
            <w:r w:rsidRPr="00D2197C">
              <w:rPr>
                <w:color w:val="001B74"/>
                <w:spacing w:val="-8"/>
                <w:sz w:val="16"/>
                <w:szCs w:val="16"/>
              </w:rPr>
              <w:t xml:space="preserve"> </w:t>
            </w:r>
            <w:r w:rsidRPr="00D2197C">
              <w:rPr>
                <w:color w:val="001B74"/>
                <w:sz w:val="16"/>
                <w:szCs w:val="16"/>
              </w:rPr>
              <w:t>Daniel,</w:t>
            </w:r>
            <w:r w:rsidRPr="00D2197C">
              <w:rPr>
                <w:color w:val="001B74"/>
                <w:spacing w:val="-8"/>
                <w:sz w:val="16"/>
                <w:szCs w:val="16"/>
              </w:rPr>
              <w:t xml:space="preserve"> </w:t>
            </w:r>
            <w:r w:rsidRPr="00D2197C">
              <w:rPr>
                <w:color w:val="001B74"/>
                <w:sz w:val="16"/>
                <w:szCs w:val="16"/>
              </w:rPr>
              <w:t>Chairman</w:t>
            </w:r>
          </w:p>
        </w:tc>
      </w:tr>
      <w:tr w:rsidR="002A26B1" w14:paraId="6B3C925E" w14:textId="77777777" w:rsidTr="0063297E">
        <w:tc>
          <w:tcPr>
            <w:tcW w:w="2245" w:type="dxa"/>
          </w:tcPr>
          <w:p w14:paraId="5DD5B98F" w14:textId="77777777" w:rsidR="002A26B1" w:rsidRPr="00D2197C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z w:val="14"/>
                <w:szCs w:val="14"/>
              </w:rPr>
              <w:t>Commissioner</w:t>
            </w:r>
            <w:r w:rsidRPr="00D2197C">
              <w:rPr>
                <w:color w:val="001B74"/>
                <w:spacing w:val="-9"/>
                <w:sz w:val="14"/>
                <w:szCs w:val="14"/>
              </w:rPr>
              <w:t xml:space="preserve"> </w:t>
            </w:r>
            <w:r w:rsidRPr="00D2197C">
              <w:rPr>
                <w:color w:val="001B74"/>
                <w:sz w:val="14"/>
                <w:szCs w:val="14"/>
              </w:rPr>
              <w:t>Representing</w:t>
            </w:r>
          </w:p>
        </w:tc>
      </w:tr>
      <w:tr w:rsidR="002A26B1" w14:paraId="4C60CA23" w14:textId="77777777" w:rsidTr="0063297E">
        <w:tc>
          <w:tcPr>
            <w:tcW w:w="2245" w:type="dxa"/>
          </w:tcPr>
          <w:p w14:paraId="0DC7FDD0" w14:textId="77777777" w:rsidR="002A26B1" w:rsidRPr="00D2197C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z w:val="14"/>
                <w:szCs w:val="14"/>
              </w:rPr>
              <w:t>the</w:t>
            </w:r>
            <w:r w:rsidRPr="00D2197C">
              <w:rPr>
                <w:color w:val="001B74"/>
                <w:spacing w:val="-6"/>
                <w:sz w:val="14"/>
                <w:szCs w:val="14"/>
              </w:rPr>
              <w:t xml:space="preserve"> </w:t>
            </w:r>
            <w:r w:rsidRPr="00D2197C">
              <w:rPr>
                <w:color w:val="001B74"/>
                <w:sz w:val="14"/>
                <w:szCs w:val="14"/>
              </w:rPr>
              <w:t>Public</w:t>
            </w:r>
          </w:p>
        </w:tc>
      </w:tr>
      <w:tr w:rsidR="002A26B1" w14:paraId="42AA93AA" w14:textId="77777777" w:rsidTr="0063297E">
        <w:tc>
          <w:tcPr>
            <w:tcW w:w="2245" w:type="dxa"/>
          </w:tcPr>
          <w:p w14:paraId="383775AF" w14:textId="77777777" w:rsidR="002A26B1" w:rsidRPr="00D2197C" w:rsidRDefault="002A26B1" w:rsidP="0063297E">
            <w:pPr>
              <w:pStyle w:val="BodyText"/>
              <w:rPr>
                <w:color w:val="001B74"/>
                <w:sz w:val="18"/>
                <w:szCs w:val="18"/>
              </w:rPr>
            </w:pPr>
          </w:p>
        </w:tc>
      </w:tr>
      <w:tr w:rsidR="002A26B1" w14:paraId="1BAB3332" w14:textId="77777777" w:rsidTr="0063297E">
        <w:tc>
          <w:tcPr>
            <w:tcW w:w="2245" w:type="dxa"/>
          </w:tcPr>
          <w:p w14:paraId="24EFB97A" w14:textId="77777777" w:rsidR="002A26B1" w:rsidRPr="00D2197C" w:rsidRDefault="002A26B1" w:rsidP="0063297E">
            <w:pPr>
              <w:pStyle w:val="BodyText"/>
              <w:rPr>
                <w:color w:val="001B74"/>
                <w:sz w:val="16"/>
                <w:szCs w:val="16"/>
              </w:rPr>
            </w:pPr>
            <w:r w:rsidRPr="00D2197C">
              <w:rPr>
                <w:color w:val="001B74"/>
                <w:sz w:val="16"/>
                <w:szCs w:val="16"/>
              </w:rPr>
              <w:t xml:space="preserve">Alberto </w:t>
            </w:r>
            <w:proofErr w:type="spellStart"/>
            <w:r w:rsidRPr="00D2197C">
              <w:rPr>
                <w:color w:val="001B74"/>
                <w:sz w:val="16"/>
                <w:szCs w:val="16"/>
              </w:rPr>
              <w:t>Treviño</w:t>
            </w:r>
            <w:proofErr w:type="spellEnd"/>
            <w:r w:rsidRPr="00D2197C">
              <w:rPr>
                <w:color w:val="001B74"/>
                <w:sz w:val="16"/>
                <w:szCs w:val="16"/>
              </w:rPr>
              <w:t xml:space="preserve"> III</w:t>
            </w:r>
          </w:p>
        </w:tc>
      </w:tr>
      <w:tr w:rsidR="002A26B1" w14:paraId="1F45B58D" w14:textId="77777777" w:rsidTr="0063297E">
        <w:tc>
          <w:tcPr>
            <w:tcW w:w="2245" w:type="dxa"/>
          </w:tcPr>
          <w:p w14:paraId="11D7CFA5" w14:textId="77777777" w:rsidR="002A26B1" w:rsidRPr="00D2197C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z w:val="14"/>
                <w:szCs w:val="14"/>
              </w:rPr>
              <w:t>Commissioner</w:t>
            </w:r>
            <w:r w:rsidRPr="00D2197C">
              <w:rPr>
                <w:color w:val="001B74"/>
                <w:spacing w:val="-9"/>
                <w:sz w:val="14"/>
                <w:szCs w:val="14"/>
              </w:rPr>
              <w:t xml:space="preserve"> </w:t>
            </w:r>
            <w:r w:rsidRPr="00D2197C">
              <w:rPr>
                <w:color w:val="001B74"/>
                <w:sz w:val="14"/>
                <w:szCs w:val="14"/>
              </w:rPr>
              <w:t>Representing</w:t>
            </w:r>
          </w:p>
        </w:tc>
      </w:tr>
      <w:tr w:rsidR="002A26B1" w14:paraId="0B54250E" w14:textId="77777777" w:rsidTr="0063297E">
        <w:tc>
          <w:tcPr>
            <w:tcW w:w="2245" w:type="dxa"/>
          </w:tcPr>
          <w:p w14:paraId="50529613" w14:textId="77777777" w:rsidR="002A26B1" w:rsidRPr="00D2197C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pacing w:val="-2"/>
                <w:sz w:val="14"/>
                <w:szCs w:val="14"/>
              </w:rPr>
              <w:t>Labor</w:t>
            </w:r>
          </w:p>
        </w:tc>
      </w:tr>
      <w:tr w:rsidR="002A26B1" w14:paraId="43C4911C" w14:textId="77777777" w:rsidTr="0063297E">
        <w:tc>
          <w:tcPr>
            <w:tcW w:w="2245" w:type="dxa"/>
          </w:tcPr>
          <w:p w14:paraId="361E4EDF" w14:textId="77777777" w:rsidR="002A26B1" w:rsidRPr="00D2197C" w:rsidRDefault="002A26B1" w:rsidP="0063297E">
            <w:pPr>
              <w:pStyle w:val="BodyText"/>
              <w:rPr>
                <w:color w:val="001B74"/>
                <w:sz w:val="18"/>
                <w:szCs w:val="18"/>
              </w:rPr>
            </w:pPr>
          </w:p>
        </w:tc>
      </w:tr>
      <w:tr w:rsidR="002A26B1" w14:paraId="7C694E40" w14:textId="77777777" w:rsidTr="0063297E">
        <w:tc>
          <w:tcPr>
            <w:tcW w:w="2245" w:type="dxa"/>
          </w:tcPr>
          <w:p w14:paraId="66FFBFAD" w14:textId="77777777" w:rsidR="002A26B1" w:rsidRPr="00D2197C" w:rsidRDefault="002A26B1" w:rsidP="0063297E">
            <w:pPr>
              <w:pStyle w:val="BodyText"/>
              <w:rPr>
                <w:color w:val="001B74"/>
                <w:sz w:val="16"/>
                <w:szCs w:val="16"/>
              </w:rPr>
            </w:pPr>
            <w:r w:rsidRPr="00D2197C">
              <w:rPr>
                <w:color w:val="001B74"/>
                <w:sz w:val="16"/>
                <w:szCs w:val="16"/>
              </w:rPr>
              <w:t>Joe Esparza</w:t>
            </w:r>
          </w:p>
        </w:tc>
      </w:tr>
      <w:tr w:rsidR="002A26B1" w14:paraId="68B712DA" w14:textId="77777777" w:rsidTr="0063297E">
        <w:tc>
          <w:tcPr>
            <w:tcW w:w="2245" w:type="dxa"/>
          </w:tcPr>
          <w:p w14:paraId="6EEBD77F" w14:textId="77777777" w:rsidR="002A26B1" w:rsidRPr="00D2197C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z w:val="14"/>
                <w:szCs w:val="14"/>
              </w:rPr>
              <w:t>Commissioner</w:t>
            </w:r>
            <w:r w:rsidRPr="00D2197C">
              <w:rPr>
                <w:color w:val="001B74"/>
                <w:spacing w:val="-9"/>
                <w:sz w:val="14"/>
                <w:szCs w:val="14"/>
              </w:rPr>
              <w:t xml:space="preserve"> </w:t>
            </w:r>
            <w:r w:rsidRPr="00D2197C">
              <w:rPr>
                <w:color w:val="001B74"/>
                <w:sz w:val="14"/>
                <w:szCs w:val="14"/>
              </w:rPr>
              <w:t>Representing</w:t>
            </w:r>
          </w:p>
        </w:tc>
      </w:tr>
      <w:tr w:rsidR="002A26B1" w14:paraId="0F1F671C" w14:textId="77777777" w:rsidTr="0063297E">
        <w:tc>
          <w:tcPr>
            <w:tcW w:w="2245" w:type="dxa"/>
          </w:tcPr>
          <w:p w14:paraId="525B2ECE" w14:textId="77777777" w:rsidR="002A26B1" w:rsidRPr="00D2197C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pacing w:val="-2"/>
                <w:sz w:val="14"/>
                <w:szCs w:val="14"/>
              </w:rPr>
              <w:t>Employers</w:t>
            </w:r>
          </w:p>
        </w:tc>
      </w:tr>
      <w:tr w:rsidR="002A26B1" w14:paraId="5C8364BF" w14:textId="77777777" w:rsidTr="0063297E">
        <w:tc>
          <w:tcPr>
            <w:tcW w:w="2245" w:type="dxa"/>
          </w:tcPr>
          <w:p w14:paraId="42C36195" w14:textId="77777777" w:rsidR="002A26B1" w:rsidRPr="00D2197C" w:rsidRDefault="002A26B1" w:rsidP="0063297E">
            <w:pPr>
              <w:pStyle w:val="BodyText"/>
              <w:rPr>
                <w:color w:val="001B74"/>
                <w:sz w:val="18"/>
                <w:szCs w:val="18"/>
              </w:rPr>
            </w:pPr>
          </w:p>
        </w:tc>
      </w:tr>
      <w:tr w:rsidR="002A26B1" w14:paraId="65304CAA" w14:textId="77777777" w:rsidTr="0063297E">
        <w:tc>
          <w:tcPr>
            <w:tcW w:w="2245" w:type="dxa"/>
          </w:tcPr>
          <w:p w14:paraId="37BCE880" w14:textId="77777777" w:rsidR="002A26B1" w:rsidRPr="00D2197C" w:rsidRDefault="002A26B1" w:rsidP="0063297E">
            <w:pPr>
              <w:pStyle w:val="BodyText"/>
              <w:rPr>
                <w:color w:val="001B74"/>
                <w:sz w:val="16"/>
                <w:szCs w:val="16"/>
              </w:rPr>
            </w:pPr>
            <w:r w:rsidRPr="00D2197C">
              <w:rPr>
                <w:color w:val="001B74"/>
                <w:sz w:val="16"/>
                <w:szCs w:val="16"/>
              </w:rPr>
              <w:t>Edward Serna</w:t>
            </w:r>
          </w:p>
        </w:tc>
      </w:tr>
      <w:tr w:rsidR="002A26B1" w14:paraId="7C829789" w14:textId="77777777" w:rsidTr="0063297E">
        <w:tc>
          <w:tcPr>
            <w:tcW w:w="2245" w:type="dxa"/>
          </w:tcPr>
          <w:p w14:paraId="25B84E80" w14:textId="77777777" w:rsidR="002A26B1" w:rsidRDefault="002A26B1" w:rsidP="0063297E">
            <w:pPr>
              <w:pStyle w:val="BodyText"/>
              <w:rPr>
                <w:color w:val="001B74"/>
                <w:sz w:val="14"/>
                <w:szCs w:val="14"/>
              </w:rPr>
            </w:pPr>
            <w:r w:rsidRPr="00D2197C">
              <w:rPr>
                <w:color w:val="001B74"/>
                <w:sz w:val="14"/>
                <w:szCs w:val="14"/>
              </w:rPr>
              <w:t>Executive Director</w:t>
            </w:r>
          </w:p>
          <w:p w14:paraId="17B3C73B" w14:textId="77777777" w:rsidR="0035065D" w:rsidRDefault="0035065D" w:rsidP="0063297E">
            <w:pPr>
              <w:pStyle w:val="BodyText"/>
              <w:rPr>
                <w:color w:val="001B74"/>
                <w:sz w:val="14"/>
                <w:szCs w:val="14"/>
              </w:rPr>
            </w:pPr>
          </w:p>
          <w:p w14:paraId="08FA119E" w14:textId="77777777" w:rsidR="0035065D" w:rsidRPr="00D2197C" w:rsidRDefault="0035065D" w:rsidP="0063297E">
            <w:pPr>
              <w:pStyle w:val="BodyText"/>
              <w:rPr>
                <w:color w:val="001B74"/>
                <w:sz w:val="14"/>
                <w:szCs w:val="14"/>
              </w:rPr>
            </w:pPr>
          </w:p>
        </w:tc>
      </w:tr>
    </w:tbl>
    <w:p w14:paraId="38FC6B5D" w14:textId="77777777" w:rsidR="002A26B1" w:rsidRPr="00D32970" w:rsidRDefault="002A26B1" w:rsidP="002A26B1">
      <w:pPr>
        <w:spacing w:before="121" w:after="960" w:line="247" w:lineRule="auto"/>
        <w:ind w:right="10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6AFADB8" wp14:editId="3238A89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931920" cy="411480"/>
            <wp:effectExtent l="0" t="0" r="0" b="762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AAE7C" w14:textId="1E2B8D85" w:rsidR="00B108F6" w:rsidRPr="00470439" w:rsidRDefault="00B108F6" w:rsidP="00B108F6">
      <w:pPr>
        <w:jc w:val="center"/>
        <w:rPr>
          <w:rFonts w:ascii="Verdana" w:eastAsia="Verdana" w:hAnsi="Verdana" w:cs="Verdana"/>
          <w:b/>
          <w:bCs/>
          <w:caps/>
          <w:sz w:val="28"/>
          <w:szCs w:val="28"/>
        </w:rPr>
      </w:pPr>
      <w:r w:rsidRPr="00470439">
        <w:rPr>
          <w:rFonts w:ascii="Verdana" w:eastAsia="Verdana" w:hAnsi="Verdana" w:cs="Verdana"/>
          <w:b/>
          <w:bCs/>
          <w:caps/>
          <w:sz w:val="28"/>
          <w:szCs w:val="28"/>
        </w:rPr>
        <w:t>Customized Employment</w:t>
      </w:r>
      <w:r w:rsidR="00F95795" w:rsidRPr="00470439">
        <w:rPr>
          <w:rFonts w:ascii="Verdana" w:eastAsia="Verdana" w:hAnsi="Verdana" w:cs="Verdana"/>
          <w:b/>
          <w:bCs/>
          <w:caps/>
          <w:sz w:val="28"/>
          <w:szCs w:val="28"/>
        </w:rPr>
        <w:t xml:space="preserve"> Project</w:t>
      </w:r>
    </w:p>
    <w:p w14:paraId="7F67C3B7" w14:textId="77777777" w:rsidR="001931BE" w:rsidRPr="001931BE" w:rsidRDefault="008B246B" w:rsidP="001931BE">
      <w:pPr>
        <w:pStyle w:val="Heading1"/>
      </w:pPr>
      <w:r w:rsidRPr="001931BE">
        <w:rPr>
          <w:rStyle w:val="Heading1Char"/>
          <w:b/>
        </w:rPr>
        <w:t>TWC-VR Mission</w:t>
      </w:r>
      <w:r w:rsidR="007D526F" w:rsidRPr="001931BE">
        <w:rPr>
          <w:rStyle w:val="Heading1Char"/>
          <w:b/>
        </w:rPr>
        <w:t>:</w:t>
      </w:r>
      <w:r w:rsidR="007D526F" w:rsidRPr="001931BE">
        <w:t xml:space="preserve"> </w:t>
      </w:r>
    </w:p>
    <w:p w14:paraId="1F56BAE2" w14:textId="07666CC7" w:rsidR="001D1CAE" w:rsidRPr="007D526F" w:rsidRDefault="001D1CAE" w:rsidP="005E1A90">
      <w:p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The Vocational Rehabilitation program, helps people with disabilities prepare for, </w:t>
      </w:r>
      <w:proofErr w:type="gramStart"/>
      <w:r w:rsidRPr="4CC4B17B">
        <w:rPr>
          <w:rFonts w:ascii="Verdana" w:eastAsia="Verdana" w:hAnsi="Verdana" w:cs="Verdana"/>
          <w:sz w:val="24"/>
          <w:szCs w:val="24"/>
        </w:rPr>
        <w:t>find</w:t>
      </w:r>
      <w:proofErr w:type="gramEnd"/>
      <w:r w:rsidRPr="4CC4B17B">
        <w:rPr>
          <w:rFonts w:ascii="Verdana" w:eastAsia="Verdana" w:hAnsi="Verdana" w:cs="Verdana"/>
          <w:sz w:val="24"/>
          <w:szCs w:val="24"/>
        </w:rPr>
        <w:t xml:space="preserve"> or retain employment and helps youth and students prepare for post-secondary opportunities. The program, in partnership with Texas Workforce Commission, Texas Workforce Solutions and WSP also helps businesses and employers recruit, </w:t>
      </w:r>
      <w:proofErr w:type="gramStart"/>
      <w:r w:rsidRPr="4CC4B17B">
        <w:rPr>
          <w:rFonts w:ascii="Verdana" w:eastAsia="Verdana" w:hAnsi="Verdana" w:cs="Verdana"/>
          <w:sz w:val="24"/>
          <w:szCs w:val="24"/>
        </w:rPr>
        <w:t>retain</w:t>
      </w:r>
      <w:proofErr w:type="gramEnd"/>
      <w:r w:rsidRPr="4CC4B17B">
        <w:rPr>
          <w:rFonts w:ascii="Verdana" w:eastAsia="Verdana" w:hAnsi="Verdana" w:cs="Verdana"/>
          <w:sz w:val="24"/>
          <w:szCs w:val="24"/>
        </w:rPr>
        <w:t xml:space="preserve"> and accommodate employees with disabilities.</w:t>
      </w:r>
    </w:p>
    <w:p w14:paraId="167BE2B6" w14:textId="77777777" w:rsidR="001931BE" w:rsidRDefault="008B246B" w:rsidP="003B314F">
      <w:pPr>
        <w:pStyle w:val="Heading1"/>
      </w:pPr>
      <w:r w:rsidRPr="4CC4B17B">
        <w:t>TWC-VR Customized Employment Vision</w:t>
      </w:r>
      <w:r w:rsidR="007D526F" w:rsidRPr="4CC4B17B">
        <w:t xml:space="preserve">: </w:t>
      </w:r>
    </w:p>
    <w:p w14:paraId="59ED21D8" w14:textId="4ACC30E0" w:rsidR="00464852" w:rsidRPr="007D526F" w:rsidRDefault="00BE47A7" w:rsidP="4CC4B17B">
      <w:p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TWC-VR aims to </w:t>
      </w:r>
      <w:r w:rsidR="004A0AE2" w:rsidRPr="4CC4B17B">
        <w:rPr>
          <w:rFonts w:ascii="Verdana" w:eastAsia="Verdana" w:hAnsi="Verdana" w:cs="Verdana"/>
          <w:sz w:val="24"/>
          <w:szCs w:val="24"/>
        </w:rPr>
        <w:t>implement the provision of</w:t>
      </w:r>
      <w:r w:rsidRPr="4CC4B17B">
        <w:rPr>
          <w:rFonts w:ascii="Verdana" w:eastAsia="Verdana" w:hAnsi="Verdana" w:cs="Verdana"/>
          <w:sz w:val="24"/>
          <w:szCs w:val="24"/>
        </w:rPr>
        <w:t xml:space="preserve"> high-quality Customized Employment services to improve competitive integrated employment outcomes for Texans with disabilities</w:t>
      </w:r>
      <w:r w:rsidR="00B6246C"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="00613663" w:rsidRPr="4CC4B17B">
        <w:rPr>
          <w:rFonts w:ascii="Verdana" w:eastAsia="Verdana" w:hAnsi="Verdana" w:cs="Verdana"/>
          <w:sz w:val="24"/>
          <w:szCs w:val="24"/>
        </w:rPr>
        <w:t>focusing on individuals</w:t>
      </w:r>
      <w:r w:rsidR="00B6246C" w:rsidRPr="4CC4B17B">
        <w:rPr>
          <w:rFonts w:ascii="Verdana" w:eastAsia="Verdana" w:hAnsi="Verdana" w:cs="Verdana"/>
          <w:sz w:val="24"/>
          <w:szCs w:val="24"/>
        </w:rPr>
        <w:t xml:space="preserve"> with the most significant disabilities</w:t>
      </w:r>
      <w:r w:rsidRPr="4CC4B17B">
        <w:rPr>
          <w:rFonts w:ascii="Verdana" w:eastAsia="Verdana" w:hAnsi="Verdana" w:cs="Verdana"/>
          <w:sz w:val="24"/>
          <w:szCs w:val="24"/>
        </w:rPr>
        <w:t xml:space="preserve">. TWC-VR </w:t>
      </w:r>
      <w:r w:rsidR="00464852" w:rsidRPr="4CC4B17B">
        <w:rPr>
          <w:rFonts w:ascii="Verdana" w:eastAsia="Verdana" w:hAnsi="Verdana" w:cs="Verdana"/>
          <w:sz w:val="24"/>
          <w:szCs w:val="24"/>
        </w:rPr>
        <w:t xml:space="preserve">seeks to accomplish this vision through the following strategies, which are aligned with </w:t>
      </w:r>
      <w:r w:rsidRPr="4CC4B17B">
        <w:rPr>
          <w:rFonts w:ascii="Verdana" w:eastAsia="Verdana" w:hAnsi="Verdana" w:cs="Verdana"/>
          <w:sz w:val="24"/>
          <w:szCs w:val="24"/>
        </w:rPr>
        <w:t>the Workforce Innovation and Opportunity Act (</w:t>
      </w:r>
      <w:r w:rsidR="00464852" w:rsidRPr="4CC4B17B">
        <w:rPr>
          <w:rFonts w:ascii="Verdana" w:eastAsia="Verdana" w:hAnsi="Verdana" w:cs="Verdana"/>
          <w:sz w:val="24"/>
          <w:szCs w:val="24"/>
        </w:rPr>
        <w:t>WIOA</w:t>
      </w:r>
      <w:r w:rsidRPr="4CC4B17B">
        <w:rPr>
          <w:rFonts w:ascii="Verdana" w:eastAsia="Verdana" w:hAnsi="Verdana" w:cs="Verdana"/>
          <w:sz w:val="24"/>
          <w:szCs w:val="24"/>
        </w:rPr>
        <w:t>)</w:t>
      </w:r>
      <w:r w:rsidR="00675E68"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Pr="4CC4B17B">
        <w:rPr>
          <w:rFonts w:ascii="Verdana" w:eastAsia="Verdana" w:hAnsi="Verdana" w:cs="Verdana"/>
          <w:sz w:val="24"/>
          <w:szCs w:val="24"/>
        </w:rPr>
        <w:t xml:space="preserve">and Employment First expansion efforts to serve individuals with </w:t>
      </w:r>
      <w:r w:rsidR="008D4B66" w:rsidRPr="4CC4B17B">
        <w:rPr>
          <w:rFonts w:ascii="Verdana" w:eastAsia="Verdana" w:hAnsi="Verdana" w:cs="Verdana"/>
          <w:sz w:val="24"/>
          <w:szCs w:val="24"/>
        </w:rPr>
        <w:t xml:space="preserve">the most </w:t>
      </w:r>
      <w:r w:rsidRPr="4CC4B17B">
        <w:rPr>
          <w:rFonts w:ascii="Verdana" w:eastAsia="Verdana" w:hAnsi="Verdana" w:cs="Verdana"/>
          <w:sz w:val="24"/>
          <w:szCs w:val="24"/>
        </w:rPr>
        <w:t xml:space="preserve">significant disabilities. </w:t>
      </w:r>
    </w:p>
    <w:p w14:paraId="3BDE2DE1" w14:textId="309991AE" w:rsidR="00E854CC" w:rsidRDefault="00E854CC" w:rsidP="003B314F">
      <w:pPr>
        <w:pStyle w:val="Heading1"/>
      </w:pPr>
      <w:r w:rsidRPr="4CC4B17B">
        <w:t>Strategies</w:t>
      </w:r>
      <w:r w:rsidR="007D526F" w:rsidRPr="4CC4B17B">
        <w:t>:</w:t>
      </w:r>
    </w:p>
    <w:p w14:paraId="55EDC2B0" w14:textId="77777777" w:rsidR="00DE03E9" w:rsidRPr="00DE03E9" w:rsidRDefault="00DE03E9" w:rsidP="00DE03E9"/>
    <w:p w14:paraId="0CB845E2" w14:textId="7EDC4D10" w:rsidR="007A0703" w:rsidRPr="007D526F" w:rsidRDefault="007A0703" w:rsidP="4CC4B17B">
      <w:pPr>
        <w:pStyle w:val="ListParagraph"/>
        <w:numPr>
          <w:ilvl w:val="0"/>
          <w:numId w:val="17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b/>
          <w:bCs/>
          <w:i/>
          <w:iCs/>
          <w:sz w:val="24"/>
          <w:szCs w:val="24"/>
        </w:rPr>
        <w:t xml:space="preserve">TWC-VR Systems Innovation </w:t>
      </w:r>
      <w:r w:rsidR="006C784F" w:rsidRPr="4CC4B17B">
        <w:rPr>
          <w:rFonts w:ascii="Verdana" w:eastAsia="Verdana" w:hAnsi="Verdana" w:cs="Verdana"/>
          <w:b/>
          <w:bCs/>
          <w:i/>
          <w:iCs/>
          <w:sz w:val="24"/>
          <w:szCs w:val="24"/>
        </w:rPr>
        <w:t>&amp; Collaboration</w:t>
      </w:r>
    </w:p>
    <w:p w14:paraId="7A8D27EE" w14:textId="62BBD9CD" w:rsidR="00A31D78" w:rsidRPr="007D526F" w:rsidRDefault="00A31D78" w:rsidP="4CC4B17B">
      <w:pPr>
        <w:pStyle w:val="ListParagraph"/>
        <w:numPr>
          <w:ilvl w:val="0"/>
          <w:numId w:val="18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Establish </w:t>
      </w:r>
      <w:r w:rsidR="002462DB" w:rsidRPr="4CC4B17B">
        <w:rPr>
          <w:rFonts w:ascii="Verdana" w:eastAsia="Verdana" w:hAnsi="Verdana" w:cs="Verdana"/>
          <w:sz w:val="24"/>
          <w:szCs w:val="24"/>
        </w:rPr>
        <w:t xml:space="preserve">qualifications for both, </w:t>
      </w:r>
      <w:r w:rsidRPr="4CC4B17B">
        <w:rPr>
          <w:rFonts w:ascii="Verdana" w:eastAsia="Verdana" w:hAnsi="Verdana" w:cs="Verdana"/>
          <w:sz w:val="24"/>
          <w:szCs w:val="24"/>
        </w:rPr>
        <w:t>service provider</w:t>
      </w:r>
      <w:r w:rsidR="002462DB" w:rsidRPr="4CC4B17B">
        <w:rPr>
          <w:rFonts w:ascii="Verdana" w:eastAsia="Verdana" w:hAnsi="Verdana" w:cs="Verdana"/>
          <w:sz w:val="24"/>
          <w:szCs w:val="24"/>
        </w:rPr>
        <w:t xml:space="preserve">s and Customized Employment Specialists. </w:t>
      </w:r>
    </w:p>
    <w:p w14:paraId="2169414D" w14:textId="1D088FA3" w:rsidR="007A0703" w:rsidRPr="007D526F" w:rsidRDefault="007A0703" w:rsidP="4CC4B17B">
      <w:pPr>
        <w:pStyle w:val="ListParagraph"/>
        <w:numPr>
          <w:ilvl w:val="0"/>
          <w:numId w:val="18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Create policies, </w:t>
      </w:r>
      <w:r w:rsidR="008D4B66" w:rsidRPr="4CC4B17B">
        <w:rPr>
          <w:rFonts w:ascii="Verdana" w:eastAsia="Verdana" w:hAnsi="Verdana" w:cs="Verdana"/>
          <w:sz w:val="24"/>
          <w:szCs w:val="24"/>
        </w:rPr>
        <w:t>rate r</w:t>
      </w:r>
      <w:r w:rsidRPr="4CC4B17B">
        <w:rPr>
          <w:rFonts w:ascii="Verdana" w:eastAsia="Verdana" w:hAnsi="Verdana" w:cs="Verdana"/>
          <w:sz w:val="24"/>
          <w:szCs w:val="24"/>
        </w:rPr>
        <w:t>eimbursement strategies</w:t>
      </w:r>
      <w:r w:rsidR="008D4B66" w:rsidRPr="4CC4B17B">
        <w:rPr>
          <w:rFonts w:ascii="Verdana" w:eastAsia="Verdana" w:hAnsi="Verdana" w:cs="Verdana"/>
          <w:sz w:val="24"/>
          <w:szCs w:val="24"/>
        </w:rPr>
        <w:t xml:space="preserve"> and</w:t>
      </w:r>
      <w:r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="008D4B66" w:rsidRPr="4CC4B17B">
        <w:rPr>
          <w:rFonts w:ascii="Verdana" w:eastAsia="Verdana" w:hAnsi="Verdana" w:cs="Verdana"/>
          <w:sz w:val="24"/>
          <w:szCs w:val="24"/>
        </w:rPr>
        <w:t xml:space="preserve">service delivery practices/procedures </w:t>
      </w:r>
      <w:r w:rsidRPr="4CC4B17B">
        <w:rPr>
          <w:rFonts w:ascii="Verdana" w:eastAsia="Verdana" w:hAnsi="Verdana" w:cs="Verdana"/>
          <w:sz w:val="24"/>
          <w:szCs w:val="24"/>
        </w:rPr>
        <w:t xml:space="preserve">that support effective implementation of Customized Employment for individuals with the most significant </w:t>
      </w:r>
      <w:r w:rsidR="000B0879" w:rsidRPr="4CC4B17B">
        <w:rPr>
          <w:rFonts w:ascii="Verdana" w:eastAsia="Verdana" w:hAnsi="Verdana" w:cs="Verdana"/>
          <w:sz w:val="24"/>
          <w:szCs w:val="24"/>
        </w:rPr>
        <w:t>disabilities</w:t>
      </w:r>
      <w:r w:rsidR="0087061D" w:rsidRPr="4CC4B17B">
        <w:rPr>
          <w:rFonts w:ascii="Verdana" w:eastAsia="Verdana" w:hAnsi="Verdana" w:cs="Verdana"/>
          <w:sz w:val="24"/>
          <w:szCs w:val="24"/>
        </w:rPr>
        <w:t>.</w:t>
      </w:r>
    </w:p>
    <w:p w14:paraId="3FD94FA7" w14:textId="13B228C9" w:rsidR="002B2339" w:rsidRPr="007D526F" w:rsidRDefault="002B2339" w:rsidP="4CC4B17B">
      <w:pPr>
        <w:pStyle w:val="ListParagraph"/>
        <w:numPr>
          <w:ilvl w:val="0"/>
          <w:numId w:val="18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Contract with qualified CE </w:t>
      </w:r>
      <w:r w:rsidR="00FF1168" w:rsidRPr="4CC4B17B">
        <w:rPr>
          <w:rFonts w:ascii="Verdana" w:eastAsia="Verdana" w:hAnsi="Verdana" w:cs="Verdana"/>
          <w:sz w:val="24"/>
          <w:szCs w:val="24"/>
        </w:rPr>
        <w:t xml:space="preserve">Community Rehabilitation Providers (CRP). </w:t>
      </w:r>
    </w:p>
    <w:p w14:paraId="7F7BC52B" w14:textId="5FE75363" w:rsidR="007A0703" w:rsidRPr="007D526F" w:rsidDel="00D93F7F" w:rsidRDefault="002D028F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Enhance collaboration </w:t>
      </w:r>
      <w:r w:rsidR="00C76DD6" w:rsidRPr="4CC4B17B">
        <w:rPr>
          <w:rFonts w:ascii="Verdana" w:eastAsia="Verdana" w:hAnsi="Verdana" w:cs="Verdana"/>
          <w:sz w:val="24"/>
          <w:szCs w:val="24"/>
        </w:rPr>
        <w:t xml:space="preserve">and partnerships </w:t>
      </w:r>
      <w:r w:rsidRPr="4CC4B17B">
        <w:rPr>
          <w:rFonts w:ascii="Verdana" w:eastAsia="Verdana" w:hAnsi="Verdana" w:cs="Verdana"/>
          <w:sz w:val="24"/>
          <w:szCs w:val="24"/>
        </w:rPr>
        <w:t xml:space="preserve">with </w:t>
      </w:r>
      <w:r w:rsidR="00FE7F8D" w:rsidRPr="4CC4B17B">
        <w:rPr>
          <w:rFonts w:ascii="Verdana" w:eastAsia="Verdana" w:hAnsi="Verdana" w:cs="Verdana"/>
          <w:sz w:val="24"/>
          <w:szCs w:val="24"/>
        </w:rPr>
        <w:t xml:space="preserve">state </w:t>
      </w:r>
      <w:r w:rsidR="00C76DD6" w:rsidRPr="4CC4B17B">
        <w:rPr>
          <w:rFonts w:ascii="Verdana" w:eastAsia="Verdana" w:hAnsi="Verdana" w:cs="Verdana"/>
          <w:sz w:val="24"/>
          <w:szCs w:val="24"/>
        </w:rPr>
        <w:t>and community</w:t>
      </w:r>
      <w:r w:rsidR="004221FB" w:rsidRPr="4CC4B17B">
        <w:rPr>
          <w:rFonts w:ascii="Verdana" w:eastAsia="Verdana" w:hAnsi="Verdana" w:cs="Verdana"/>
          <w:sz w:val="24"/>
          <w:szCs w:val="24"/>
        </w:rPr>
        <w:t xml:space="preserve"> agencies </w:t>
      </w:r>
      <w:r w:rsidR="007A0703" w:rsidRPr="4CC4B17B">
        <w:rPr>
          <w:rFonts w:ascii="Verdana" w:eastAsia="Verdana" w:hAnsi="Verdana" w:cs="Verdana"/>
          <w:sz w:val="24"/>
          <w:szCs w:val="24"/>
        </w:rPr>
        <w:t xml:space="preserve">to </w:t>
      </w:r>
      <w:r w:rsidR="008D4B66" w:rsidRPr="4CC4B17B">
        <w:rPr>
          <w:rFonts w:ascii="Verdana" w:eastAsia="Verdana" w:hAnsi="Verdana" w:cs="Verdana"/>
          <w:sz w:val="24"/>
          <w:szCs w:val="24"/>
        </w:rPr>
        <w:t>effective</w:t>
      </w:r>
      <w:r w:rsidR="00C76DD6" w:rsidRPr="4CC4B17B">
        <w:rPr>
          <w:rFonts w:ascii="Verdana" w:eastAsia="Verdana" w:hAnsi="Verdana" w:cs="Verdana"/>
          <w:sz w:val="24"/>
          <w:szCs w:val="24"/>
        </w:rPr>
        <w:t>ly</w:t>
      </w:r>
      <w:r w:rsidR="008D4B66" w:rsidRPr="4CC4B17B">
        <w:rPr>
          <w:rFonts w:ascii="Verdana" w:eastAsia="Verdana" w:hAnsi="Verdana" w:cs="Verdana"/>
          <w:sz w:val="24"/>
          <w:szCs w:val="24"/>
        </w:rPr>
        <w:t xml:space="preserve"> serve individuals with the most significant disabilities </w:t>
      </w:r>
      <w:r w:rsidR="00240F43" w:rsidRPr="4CC4B17B">
        <w:rPr>
          <w:rFonts w:ascii="Verdana" w:eastAsia="Verdana" w:hAnsi="Verdana" w:cs="Verdana"/>
          <w:sz w:val="24"/>
          <w:szCs w:val="24"/>
        </w:rPr>
        <w:t xml:space="preserve">in maintaining long-term customized </w:t>
      </w:r>
      <w:r w:rsidR="000B0879" w:rsidRPr="4CC4B17B">
        <w:rPr>
          <w:rFonts w:ascii="Verdana" w:eastAsia="Verdana" w:hAnsi="Verdana" w:cs="Verdana"/>
          <w:sz w:val="24"/>
          <w:szCs w:val="24"/>
        </w:rPr>
        <w:t>competitive integrated employment</w:t>
      </w:r>
      <w:r w:rsidR="0087061D" w:rsidRPr="4CC4B17B">
        <w:rPr>
          <w:rFonts w:ascii="Verdana" w:eastAsia="Verdana" w:hAnsi="Verdana" w:cs="Verdana"/>
          <w:sz w:val="24"/>
          <w:szCs w:val="24"/>
        </w:rPr>
        <w:t>.</w:t>
      </w:r>
    </w:p>
    <w:p w14:paraId="27C32B93" w14:textId="77777777" w:rsidR="008D4B66" w:rsidRPr="007D526F" w:rsidRDefault="008D4B66" w:rsidP="4CC4B17B">
      <w:pPr>
        <w:pStyle w:val="ListParagraph"/>
        <w:ind w:left="1440"/>
        <w:rPr>
          <w:rFonts w:ascii="Verdana" w:eastAsia="Verdana" w:hAnsi="Verdana" w:cs="Verdana"/>
          <w:i/>
          <w:iCs/>
          <w:sz w:val="24"/>
          <w:szCs w:val="24"/>
        </w:rPr>
      </w:pPr>
    </w:p>
    <w:p w14:paraId="659127BA" w14:textId="38FBDC7A" w:rsidR="007A0703" w:rsidRPr="007D526F" w:rsidRDefault="007A0703" w:rsidP="4CC4B17B">
      <w:pPr>
        <w:pStyle w:val="ListParagraph"/>
        <w:numPr>
          <w:ilvl w:val="0"/>
          <w:numId w:val="17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b/>
          <w:bCs/>
          <w:i/>
          <w:iCs/>
          <w:sz w:val="24"/>
          <w:szCs w:val="24"/>
        </w:rPr>
        <w:t xml:space="preserve">Training </w:t>
      </w:r>
    </w:p>
    <w:p w14:paraId="6FC2A7B3" w14:textId="51C119B6" w:rsidR="007F4C2D" w:rsidRPr="007D526F" w:rsidRDefault="00B23741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Provide </w:t>
      </w:r>
      <w:r w:rsidR="00C53D26" w:rsidRPr="4CC4B17B">
        <w:rPr>
          <w:rFonts w:ascii="Verdana" w:eastAsia="Verdana" w:hAnsi="Verdana" w:cs="Verdana"/>
          <w:sz w:val="24"/>
          <w:szCs w:val="24"/>
        </w:rPr>
        <w:t xml:space="preserve">organizational leadership </w:t>
      </w:r>
      <w:r w:rsidRPr="4CC4B17B">
        <w:rPr>
          <w:rFonts w:ascii="Verdana" w:eastAsia="Verdana" w:hAnsi="Verdana" w:cs="Verdana"/>
          <w:sz w:val="24"/>
          <w:szCs w:val="24"/>
        </w:rPr>
        <w:t>training to managers, supervisors, directors, and program specialists of both providers and TWC-VR</w:t>
      </w:r>
      <w:r w:rsidR="00C414C6" w:rsidRPr="4CC4B17B">
        <w:rPr>
          <w:rFonts w:ascii="Verdana" w:eastAsia="Verdana" w:hAnsi="Verdana" w:cs="Verdana"/>
          <w:sz w:val="24"/>
          <w:szCs w:val="24"/>
        </w:rPr>
        <w:t>.</w:t>
      </w:r>
    </w:p>
    <w:p w14:paraId="6CA39FEC" w14:textId="300FE22E" w:rsidR="007A0703" w:rsidRPr="007D526F" w:rsidRDefault="008D4B66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>Provide</w:t>
      </w:r>
      <w:r w:rsidR="6093B819"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="00870834" w:rsidRPr="4CC4B17B">
        <w:rPr>
          <w:rFonts w:ascii="Verdana" w:eastAsia="Verdana" w:hAnsi="Verdana" w:cs="Verdana"/>
          <w:sz w:val="24"/>
          <w:szCs w:val="24"/>
        </w:rPr>
        <w:t>Customized Employment</w:t>
      </w:r>
      <w:r w:rsidR="0084583F"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="00611FE0" w:rsidRPr="4CC4B17B">
        <w:rPr>
          <w:rFonts w:ascii="Verdana" w:eastAsia="Verdana" w:hAnsi="Verdana" w:cs="Verdana"/>
          <w:sz w:val="24"/>
          <w:szCs w:val="24"/>
        </w:rPr>
        <w:t xml:space="preserve">the Association of Community Rehabilitation Educators (ACRE) </w:t>
      </w:r>
      <w:r w:rsidR="00693C6C" w:rsidRPr="4CC4B17B">
        <w:rPr>
          <w:rFonts w:ascii="Verdana" w:eastAsia="Verdana" w:hAnsi="Verdana" w:cs="Verdana"/>
          <w:sz w:val="24"/>
          <w:szCs w:val="24"/>
        </w:rPr>
        <w:t>training and mentoring</w:t>
      </w:r>
      <w:r w:rsidR="00611FE0"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="00870834" w:rsidRPr="4CC4B17B">
        <w:rPr>
          <w:rFonts w:ascii="Verdana" w:eastAsia="Verdana" w:hAnsi="Verdana" w:cs="Verdana"/>
          <w:sz w:val="24"/>
          <w:szCs w:val="24"/>
        </w:rPr>
        <w:t xml:space="preserve">through </w:t>
      </w:r>
      <w:r w:rsidR="5BAE0D2D" w:rsidRPr="4CC4B17B">
        <w:rPr>
          <w:rFonts w:ascii="Verdana" w:eastAsia="Verdana" w:hAnsi="Verdana" w:cs="Verdana"/>
          <w:sz w:val="24"/>
          <w:szCs w:val="24"/>
        </w:rPr>
        <w:t xml:space="preserve">Griffin-Hammis &amp; Associates </w:t>
      </w:r>
      <w:r w:rsidR="009D3ACD" w:rsidRPr="4CC4B17B">
        <w:rPr>
          <w:rFonts w:ascii="Verdana" w:eastAsia="Verdana" w:hAnsi="Verdana" w:cs="Verdana"/>
          <w:sz w:val="24"/>
          <w:szCs w:val="24"/>
        </w:rPr>
        <w:t>to contracted service providers.</w:t>
      </w:r>
    </w:p>
    <w:p w14:paraId="00D5E4F1" w14:textId="3BEFBBDD" w:rsidR="00B171C9" w:rsidRPr="005A0B71" w:rsidRDefault="00E4318F" w:rsidP="00B171C9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lastRenderedPageBreak/>
        <w:t xml:space="preserve">Develop and provide </w:t>
      </w:r>
      <w:r w:rsidR="00B61423" w:rsidRPr="4CC4B17B">
        <w:rPr>
          <w:rFonts w:ascii="Verdana" w:eastAsia="Verdana" w:hAnsi="Verdana" w:cs="Verdana"/>
          <w:sz w:val="24"/>
          <w:szCs w:val="24"/>
        </w:rPr>
        <w:t xml:space="preserve">Customized Employment </w:t>
      </w:r>
      <w:r w:rsidRPr="4CC4B17B">
        <w:rPr>
          <w:rFonts w:ascii="Verdana" w:eastAsia="Verdana" w:hAnsi="Verdana" w:cs="Verdana"/>
          <w:sz w:val="24"/>
          <w:szCs w:val="24"/>
        </w:rPr>
        <w:t xml:space="preserve">training </w:t>
      </w:r>
      <w:r w:rsidR="00B61423" w:rsidRPr="4CC4B17B">
        <w:rPr>
          <w:rFonts w:ascii="Verdana" w:eastAsia="Verdana" w:hAnsi="Verdana" w:cs="Verdana"/>
          <w:sz w:val="24"/>
          <w:szCs w:val="24"/>
        </w:rPr>
        <w:t xml:space="preserve">for </w:t>
      </w:r>
      <w:r w:rsidRPr="4CC4B17B">
        <w:rPr>
          <w:rFonts w:ascii="Verdana" w:eastAsia="Verdana" w:hAnsi="Verdana" w:cs="Verdana"/>
          <w:sz w:val="24"/>
          <w:szCs w:val="24"/>
        </w:rPr>
        <w:t>TWC-VR</w:t>
      </w:r>
      <w:r w:rsidR="001B5981" w:rsidRPr="4CC4B17B">
        <w:rPr>
          <w:rFonts w:ascii="Verdana" w:eastAsia="Verdana" w:hAnsi="Verdana" w:cs="Verdana"/>
          <w:sz w:val="24"/>
          <w:szCs w:val="24"/>
        </w:rPr>
        <w:t xml:space="preserve"> field staff.</w:t>
      </w:r>
      <w:r w:rsidRPr="4CC4B17B">
        <w:rPr>
          <w:rFonts w:ascii="Verdana" w:eastAsia="Verdana" w:hAnsi="Verdana" w:cs="Verdana"/>
          <w:sz w:val="24"/>
          <w:szCs w:val="24"/>
        </w:rPr>
        <w:t xml:space="preserve"> </w:t>
      </w:r>
    </w:p>
    <w:p w14:paraId="37F2E0B8" w14:textId="3AFEAD6C" w:rsidR="00E4318F" w:rsidRDefault="00B61423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Develop and provide training to </w:t>
      </w:r>
      <w:r w:rsidR="00E4318F" w:rsidRPr="4CC4B17B">
        <w:rPr>
          <w:rFonts w:ascii="Verdana" w:eastAsia="Verdana" w:hAnsi="Verdana" w:cs="Verdana"/>
          <w:sz w:val="24"/>
          <w:szCs w:val="24"/>
        </w:rPr>
        <w:t xml:space="preserve">state </w:t>
      </w:r>
      <w:r w:rsidR="0096038B" w:rsidRPr="4CC4B17B">
        <w:rPr>
          <w:rFonts w:ascii="Verdana" w:eastAsia="Verdana" w:hAnsi="Verdana" w:cs="Verdana"/>
          <w:sz w:val="24"/>
          <w:szCs w:val="24"/>
        </w:rPr>
        <w:t xml:space="preserve">and community </w:t>
      </w:r>
      <w:r w:rsidR="00E4318F" w:rsidRPr="4CC4B17B">
        <w:rPr>
          <w:rFonts w:ascii="Verdana" w:eastAsia="Verdana" w:hAnsi="Verdana" w:cs="Verdana"/>
          <w:sz w:val="24"/>
          <w:szCs w:val="24"/>
        </w:rPr>
        <w:t>agenc</w:t>
      </w:r>
      <w:r w:rsidR="0096038B" w:rsidRPr="4CC4B17B">
        <w:rPr>
          <w:rFonts w:ascii="Verdana" w:eastAsia="Verdana" w:hAnsi="Verdana" w:cs="Verdana"/>
          <w:sz w:val="24"/>
          <w:szCs w:val="24"/>
        </w:rPr>
        <w:t>ies</w:t>
      </w:r>
      <w:r w:rsidR="00E4318F" w:rsidRPr="4CC4B17B">
        <w:rPr>
          <w:rFonts w:ascii="Verdana" w:eastAsia="Verdana" w:hAnsi="Verdana" w:cs="Verdana"/>
          <w:sz w:val="24"/>
          <w:szCs w:val="24"/>
        </w:rPr>
        <w:t xml:space="preserve"> and stakeholders as appropriate on the essential elements of Customized Employment services. </w:t>
      </w:r>
    </w:p>
    <w:p w14:paraId="5D22DC36" w14:textId="77777777" w:rsidR="005A0B71" w:rsidRPr="007D526F" w:rsidRDefault="005A0B71" w:rsidP="005A0B71">
      <w:pPr>
        <w:pStyle w:val="ListParagraph"/>
        <w:ind w:left="1440"/>
        <w:rPr>
          <w:rFonts w:ascii="Verdana" w:eastAsia="Verdana" w:hAnsi="Verdana" w:cs="Verdana"/>
          <w:sz w:val="24"/>
          <w:szCs w:val="24"/>
        </w:rPr>
      </w:pPr>
    </w:p>
    <w:p w14:paraId="2E0E56B9" w14:textId="546F6944" w:rsidR="008D4B66" w:rsidRPr="007D526F" w:rsidRDefault="007A0703" w:rsidP="4CC4B17B">
      <w:pPr>
        <w:pStyle w:val="ListParagraph"/>
        <w:numPr>
          <w:ilvl w:val="0"/>
          <w:numId w:val="17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b/>
          <w:bCs/>
          <w:i/>
          <w:iCs/>
          <w:sz w:val="24"/>
          <w:szCs w:val="24"/>
        </w:rPr>
        <w:t>Quality Assurance</w:t>
      </w:r>
      <w:r w:rsidR="004D6660" w:rsidRPr="4CC4B17B">
        <w:rPr>
          <w:rFonts w:ascii="Verdana" w:eastAsia="Verdana" w:hAnsi="Verdana" w:cs="Verdana"/>
          <w:b/>
          <w:bCs/>
          <w:i/>
          <w:iCs/>
          <w:sz w:val="24"/>
          <w:szCs w:val="24"/>
        </w:rPr>
        <w:t xml:space="preserve"> &amp; Sustainability </w:t>
      </w:r>
    </w:p>
    <w:p w14:paraId="61C4E5B6" w14:textId="77777777" w:rsidR="00A61C87" w:rsidRPr="007D526F" w:rsidRDefault="00A61C87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Implement GHA’s fidelity measures to support best practice Customized Employment service implementation. </w:t>
      </w:r>
    </w:p>
    <w:p w14:paraId="791D9057" w14:textId="77777777" w:rsidR="00A61C87" w:rsidRPr="007D526F" w:rsidRDefault="00A61C87" w:rsidP="4CC4B17B">
      <w:pPr>
        <w:pStyle w:val="ListParagraph"/>
        <w:numPr>
          <w:ilvl w:val="0"/>
          <w:numId w:val="19"/>
        </w:numPr>
        <w:jc w:val="both"/>
        <w:rPr>
          <w:rFonts w:ascii="Verdana" w:eastAsia="Verdana" w:hAnsi="Verdana" w:cs="Verdana"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Develop and provide Customized Employment training and a community of practice for TWC-VR field staff. </w:t>
      </w:r>
    </w:p>
    <w:p w14:paraId="3B903A97" w14:textId="2C2C7126" w:rsidR="00A61C87" w:rsidRPr="007D526F" w:rsidRDefault="00E95388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Develop a Customized Employment comprehensive web-based system for credential management, </w:t>
      </w:r>
      <w:r w:rsidR="003833CF" w:rsidRPr="4CC4B17B">
        <w:rPr>
          <w:rFonts w:ascii="Verdana" w:eastAsia="Verdana" w:hAnsi="Verdana" w:cs="Verdana"/>
          <w:sz w:val="24"/>
          <w:szCs w:val="24"/>
        </w:rPr>
        <w:t>training portal</w:t>
      </w:r>
      <w:r w:rsidR="000F7F9F" w:rsidRPr="4CC4B17B">
        <w:rPr>
          <w:rFonts w:ascii="Verdana" w:eastAsia="Verdana" w:hAnsi="Verdana" w:cs="Verdana"/>
          <w:sz w:val="24"/>
          <w:szCs w:val="24"/>
        </w:rPr>
        <w:t xml:space="preserve"> </w:t>
      </w:r>
      <w:r w:rsidR="00DC69EA" w:rsidRPr="4CC4B17B">
        <w:rPr>
          <w:rFonts w:ascii="Verdana" w:eastAsia="Verdana" w:hAnsi="Verdana" w:cs="Verdana"/>
          <w:sz w:val="24"/>
          <w:szCs w:val="24"/>
        </w:rPr>
        <w:t>and</w:t>
      </w:r>
      <w:r w:rsidRPr="4CC4B17B">
        <w:rPr>
          <w:rFonts w:ascii="Verdana" w:eastAsia="Verdana" w:hAnsi="Verdana" w:cs="Verdana"/>
          <w:sz w:val="24"/>
          <w:szCs w:val="24"/>
        </w:rPr>
        <w:t xml:space="preserve"> data analysis to track progress and performance of service providers</w:t>
      </w:r>
      <w:r w:rsidR="00822EF8" w:rsidRPr="4CC4B17B">
        <w:rPr>
          <w:rFonts w:ascii="Verdana" w:eastAsia="Verdana" w:hAnsi="Verdana" w:cs="Verdana"/>
          <w:sz w:val="24"/>
          <w:szCs w:val="24"/>
        </w:rPr>
        <w:t>.</w:t>
      </w:r>
    </w:p>
    <w:p w14:paraId="4B66CBE4" w14:textId="55106C56" w:rsidR="00C62274" w:rsidRPr="007D526F" w:rsidRDefault="00C21E3F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Develop and </w:t>
      </w:r>
      <w:r w:rsidR="00A03F91" w:rsidRPr="4CC4B17B">
        <w:rPr>
          <w:rFonts w:ascii="Verdana" w:eastAsia="Verdana" w:hAnsi="Verdana" w:cs="Verdana"/>
          <w:sz w:val="24"/>
          <w:szCs w:val="24"/>
        </w:rPr>
        <w:t>i</w:t>
      </w:r>
      <w:r w:rsidR="00C049D5" w:rsidRPr="4CC4B17B">
        <w:rPr>
          <w:rFonts w:ascii="Verdana" w:eastAsia="Verdana" w:hAnsi="Verdana" w:cs="Verdana"/>
          <w:sz w:val="24"/>
          <w:szCs w:val="24"/>
        </w:rPr>
        <w:t xml:space="preserve">mplement </w:t>
      </w:r>
      <w:r w:rsidR="00A03F91" w:rsidRPr="4CC4B17B">
        <w:rPr>
          <w:rFonts w:ascii="Verdana" w:eastAsia="Verdana" w:hAnsi="Verdana" w:cs="Verdana"/>
          <w:sz w:val="24"/>
          <w:szCs w:val="24"/>
        </w:rPr>
        <w:t xml:space="preserve">a </w:t>
      </w:r>
      <w:r w:rsidR="00C049D5" w:rsidRPr="4CC4B17B">
        <w:rPr>
          <w:rFonts w:ascii="Verdana" w:eastAsia="Verdana" w:hAnsi="Verdana" w:cs="Verdana"/>
          <w:sz w:val="24"/>
          <w:szCs w:val="24"/>
        </w:rPr>
        <w:t xml:space="preserve">quality assurance </w:t>
      </w:r>
      <w:r w:rsidR="00A03F91" w:rsidRPr="4CC4B17B">
        <w:rPr>
          <w:rFonts w:ascii="Verdana" w:eastAsia="Verdana" w:hAnsi="Verdana" w:cs="Verdana"/>
          <w:sz w:val="24"/>
          <w:szCs w:val="24"/>
        </w:rPr>
        <w:t xml:space="preserve">plan </w:t>
      </w:r>
      <w:r w:rsidR="005D2F8F" w:rsidRPr="4CC4B17B">
        <w:rPr>
          <w:rFonts w:ascii="Verdana" w:eastAsia="Verdana" w:hAnsi="Verdana" w:cs="Verdana"/>
          <w:sz w:val="24"/>
          <w:szCs w:val="24"/>
        </w:rPr>
        <w:t>to measure the effectiveness of CE services</w:t>
      </w:r>
      <w:r w:rsidR="001020DB" w:rsidRPr="4CC4B17B">
        <w:rPr>
          <w:rFonts w:ascii="Verdana" w:eastAsia="Verdana" w:hAnsi="Verdana" w:cs="Verdana"/>
          <w:sz w:val="24"/>
          <w:szCs w:val="24"/>
        </w:rPr>
        <w:t>.</w:t>
      </w:r>
    </w:p>
    <w:p w14:paraId="0ED99758" w14:textId="77777777" w:rsidR="00B417A4" w:rsidRPr="007D526F" w:rsidRDefault="00B417A4" w:rsidP="4CC4B17B">
      <w:pPr>
        <w:pStyle w:val="ListParagraph"/>
        <w:numPr>
          <w:ilvl w:val="0"/>
          <w:numId w:val="19"/>
        </w:numPr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>Develop and implement Customized Employment sustainability plan.</w:t>
      </w:r>
    </w:p>
    <w:p w14:paraId="3BE31E82" w14:textId="7C8B33BC" w:rsidR="009F070A" w:rsidRPr="007D526F" w:rsidRDefault="000B0879" w:rsidP="4CC4B17B">
      <w:pPr>
        <w:pStyle w:val="ListParagraph"/>
        <w:numPr>
          <w:ilvl w:val="0"/>
          <w:numId w:val="20"/>
        </w:numPr>
        <w:rPr>
          <w:rFonts w:ascii="Verdana" w:eastAsia="Verdana" w:hAnsi="Verdana" w:cs="Verdana"/>
          <w:i/>
          <w:iCs/>
          <w:sz w:val="24"/>
          <w:szCs w:val="24"/>
        </w:rPr>
      </w:pPr>
      <w:r w:rsidRPr="4CC4B17B">
        <w:rPr>
          <w:rFonts w:ascii="Verdana" w:eastAsia="Verdana" w:hAnsi="Verdana" w:cs="Verdana"/>
          <w:sz w:val="24"/>
          <w:szCs w:val="24"/>
        </w:rPr>
        <w:t xml:space="preserve">Conduct ongoing program evaluation and needs assessment to support </w:t>
      </w:r>
      <w:r w:rsidR="00DE5395" w:rsidRPr="4CC4B17B">
        <w:rPr>
          <w:rFonts w:ascii="Verdana" w:eastAsia="Verdana" w:hAnsi="Verdana" w:cs="Verdana"/>
          <w:sz w:val="24"/>
          <w:szCs w:val="24"/>
        </w:rPr>
        <w:t xml:space="preserve">the effective delivery of </w:t>
      </w:r>
      <w:r w:rsidRPr="4CC4B17B">
        <w:rPr>
          <w:rFonts w:ascii="Verdana" w:eastAsia="Verdana" w:hAnsi="Verdana" w:cs="Verdana"/>
          <w:sz w:val="24"/>
          <w:szCs w:val="24"/>
        </w:rPr>
        <w:t>Customized Employment</w:t>
      </w:r>
      <w:r w:rsidR="00DE5395" w:rsidRPr="4CC4B17B">
        <w:rPr>
          <w:rFonts w:ascii="Verdana" w:eastAsia="Verdana" w:hAnsi="Verdana" w:cs="Verdana"/>
          <w:sz w:val="24"/>
          <w:szCs w:val="24"/>
        </w:rPr>
        <w:t>.</w:t>
      </w:r>
    </w:p>
    <w:p w14:paraId="538377D8" w14:textId="41011C9D" w:rsidR="0081350C" w:rsidRDefault="00110B49" w:rsidP="4CC4B17B">
      <w:pPr>
        <w:rPr>
          <w:rFonts w:ascii="Verdana" w:eastAsia="Verdana" w:hAnsi="Verdana" w:cs="Verdana"/>
          <w:sz w:val="24"/>
          <w:szCs w:val="24"/>
        </w:rPr>
      </w:pPr>
      <w:r w:rsidRPr="003B314F">
        <w:rPr>
          <w:rStyle w:val="Heading1Char"/>
        </w:rPr>
        <w:t>Duration of Project:</w:t>
      </w:r>
      <w:r w:rsidRPr="4CC4B17B">
        <w:rPr>
          <w:rFonts w:ascii="Verdana" w:eastAsia="Verdana" w:hAnsi="Verdana" w:cs="Verdana"/>
          <w:sz w:val="24"/>
          <w:szCs w:val="24"/>
        </w:rPr>
        <w:t xml:space="preserve"> 6/1/2023 to 5/3</w:t>
      </w:r>
      <w:r w:rsidR="00360941" w:rsidRPr="4CC4B17B">
        <w:rPr>
          <w:rFonts w:ascii="Verdana" w:eastAsia="Verdana" w:hAnsi="Verdana" w:cs="Verdana"/>
          <w:sz w:val="24"/>
          <w:szCs w:val="24"/>
        </w:rPr>
        <w:t>1</w:t>
      </w:r>
      <w:r w:rsidRPr="4CC4B17B">
        <w:rPr>
          <w:rFonts w:ascii="Verdana" w:eastAsia="Verdana" w:hAnsi="Verdana" w:cs="Verdana"/>
          <w:sz w:val="24"/>
          <w:szCs w:val="24"/>
        </w:rPr>
        <w:t>/202</w:t>
      </w:r>
      <w:r w:rsidR="00EE3BE2" w:rsidRPr="4CC4B17B">
        <w:rPr>
          <w:rFonts w:ascii="Verdana" w:eastAsia="Verdana" w:hAnsi="Verdana" w:cs="Verdana"/>
          <w:sz w:val="24"/>
          <w:szCs w:val="24"/>
        </w:rPr>
        <w:t>5</w:t>
      </w:r>
      <w:r w:rsidR="00BA6728" w:rsidRPr="4CC4B17B">
        <w:rPr>
          <w:rFonts w:ascii="Verdana" w:eastAsia="Verdana" w:hAnsi="Verdana" w:cs="Verdana"/>
          <w:sz w:val="24"/>
          <w:szCs w:val="24"/>
        </w:rPr>
        <w:t xml:space="preserve"> (with </w:t>
      </w:r>
      <w:r w:rsidR="00EA16C2" w:rsidRPr="4CC4B17B">
        <w:rPr>
          <w:rFonts w:ascii="Verdana" w:eastAsia="Verdana" w:hAnsi="Verdana" w:cs="Verdana"/>
          <w:sz w:val="24"/>
          <w:szCs w:val="24"/>
        </w:rPr>
        <w:t>three one</w:t>
      </w:r>
      <w:r w:rsidR="00BA6728" w:rsidRPr="4CC4B17B">
        <w:rPr>
          <w:rFonts w:ascii="Verdana" w:eastAsia="Verdana" w:hAnsi="Verdana" w:cs="Verdana"/>
          <w:sz w:val="24"/>
          <w:szCs w:val="24"/>
        </w:rPr>
        <w:t>-year renewal options</w:t>
      </w:r>
      <w:bookmarkStart w:id="1" w:name="_ivhgwq7ccmu4"/>
      <w:bookmarkStart w:id="2" w:name="_ja4flpmn01td"/>
      <w:bookmarkEnd w:id="1"/>
      <w:bookmarkEnd w:id="2"/>
      <w:r w:rsidR="720503CD" w:rsidRPr="4CC4B17B">
        <w:rPr>
          <w:rFonts w:ascii="Verdana" w:eastAsia="Verdana" w:hAnsi="Verdana" w:cs="Verdana"/>
          <w:sz w:val="24"/>
          <w:szCs w:val="24"/>
        </w:rPr>
        <w:t xml:space="preserve"> - 5/31/2028</w:t>
      </w:r>
      <w:r w:rsidR="00EA16C2" w:rsidRPr="4CC4B17B">
        <w:rPr>
          <w:rFonts w:ascii="Verdana" w:eastAsia="Verdana" w:hAnsi="Verdana" w:cs="Verdana"/>
          <w:sz w:val="24"/>
          <w:szCs w:val="24"/>
        </w:rPr>
        <w:t>)</w:t>
      </w:r>
    </w:p>
    <w:p w14:paraId="427A1E5B" w14:textId="3417D068" w:rsidR="003B314F" w:rsidRDefault="00DE03E9" w:rsidP="00926A0F">
      <w:pPr>
        <w:spacing w:before="4080" w:after="0"/>
        <w:jc w:val="center"/>
        <w:rPr>
          <w:rFonts w:ascii="Verdana" w:eastAsia="Verdana" w:hAnsi="Verdana" w:cs="Verdana"/>
          <w:sz w:val="24"/>
          <w:szCs w:val="24"/>
        </w:rPr>
      </w:pPr>
      <w:r w:rsidRPr="00DE03E9">
        <w:rPr>
          <w:rFonts w:ascii="Verdana" w:eastAsia="Verdana" w:hAnsi="Verdana" w:cs="Verdana"/>
          <w:sz w:val="24"/>
          <w:szCs w:val="24"/>
        </w:rPr>
        <w:t>Customized Employment Project Vison 9-21-23</w:t>
      </w:r>
      <w:r>
        <w:rPr>
          <w:rFonts w:ascii="Verdana" w:eastAsia="Verdana" w:hAnsi="Verdana" w:cs="Verdana"/>
          <w:sz w:val="24"/>
          <w:szCs w:val="24"/>
        </w:rPr>
        <w:t xml:space="preserve"> Page 2 of 2</w:t>
      </w:r>
    </w:p>
    <w:sectPr w:rsidR="003B314F" w:rsidSect="002677D6">
      <w:headerReference w:type="default" r:id="rId11"/>
      <w:footerReference w:type="default" r:id="rId12"/>
      <w:footerReference w:type="first" r:id="rId13"/>
      <w:pgSz w:w="12240" w:h="15840"/>
      <w:pgMar w:top="720" w:right="720" w:bottom="446" w:left="720" w:header="446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4E99" w14:textId="77777777" w:rsidR="00BD0591" w:rsidRDefault="00BD0591" w:rsidP="00DF645D">
      <w:pPr>
        <w:spacing w:after="0" w:line="240" w:lineRule="auto"/>
      </w:pPr>
      <w:r>
        <w:separator/>
      </w:r>
    </w:p>
  </w:endnote>
  <w:endnote w:type="continuationSeparator" w:id="0">
    <w:p w14:paraId="638BF9F1" w14:textId="77777777" w:rsidR="00BD0591" w:rsidRDefault="00BD0591" w:rsidP="00DF645D">
      <w:pPr>
        <w:spacing w:after="0" w:line="240" w:lineRule="auto"/>
      </w:pPr>
      <w:r>
        <w:continuationSeparator/>
      </w:r>
    </w:p>
  </w:endnote>
  <w:endnote w:type="continuationNotice" w:id="1">
    <w:p w14:paraId="0C30519E" w14:textId="77777777" w:rsidR="00BD0591" w:rsidRDefault="00BD0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BACD29C4DCC418C9AB1A48A9E82ACB5"/>
      </w:placeholder>
      <w:temporary/>
      <w:showingPlcHdr/>
      <w15:appearance w15:val="hidden"/>
    </w:sdtPr>
    <w:sdtContent>
      <w:p w14:paraId="41DCDAF5" w14:textId="77777777" w:rsidR="003434B5" w:rsidRDefault="003434B5">
        <w:pPr>
          <w:pStyle w:val="Footer"/>
        </w:pPr>
        <w:r>
          <w:t>[Type here]</w:t>
        </w:r>
      </w:p>
    </w:sdtContent>
  </w:sdt>
  <w:tbl>
    <w:tblPr>
      <w:tblStyle w:val="TableGrid"/>
      <w:tblpPr w:leftFromText="187" w:rightFromText="187" w:topFromText="187" w:bottomFromText="43" w:vertAnchor="page" w:horzAnchor="page" w:tblpX="894" w:tblpY="13825"/>
      <w:tblOverlap w:val="never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25"/>
    </w:tblGrid>
    <w:tr w:rsidR="003434B5" w:rsidRPr="00E03E7D" w14:paraId="596F1541" w14:textId="77777777" w:rsidTr="00363249">
      <w:trPr>
        <w:trHeight w:val="288"/>
      </w:trPr>
      <w:tc>
        <w:tcPr>
          <w:tcW w:w="10525" w:type="dxa"/>
        </w:tcPr>
        <w:p w14:paraId="53530968" w14:textId="77777777" w:rsidR="003434B5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</w:rPr>
          </w:pPr>
        </w:p>
        <w:p w14:paraId="1EC41E2F" w14:textId="77777777" w:rsidR="003434B5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</w:rPr>
          </w:pPr>
        </w:p>
        <w:p w14:paraId="37553C59" w14:textId="77777777" w:rsidR="003434B5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</w:rPr>
          </w:pPr>
        </w:p>
        <w:p w14:paraId="77E6AD10" w14:textId="77777777" w:rsidR="003434B5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</w:rPr>
          </w:pPr>
        </w:p>
        <w:p w14:paraId="38D18884" w14:textId="5BF8EE9C" w:rsidR="003434B5" w:rsidRPr="00E03E7D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  <w:spacing w:val="-2"/>
            </w:rPr>
          </w:pPr>
          <w:r w:rsidRPr="00E03E7D">
            <w:rPr>
              <w:color w:val="001B74"/>
            </w:rPr>
            <w:t>Equal Opportunity Employer</w:t>
          </w:r>
          <w:r>
            <w:rPr>
              <w:color w:val="001B74"/>
            </w:rPr>
            <w:t>/</w:t>
          </w:r>
          <w:r w:rsidRPr="00E03E7D">
            <w:rPr>
              <w:color w:val="001B74"/>
            </w:rPr>
            <w:t>Program</w:t>
          </w:r>
          <w:r>
            <w:rPr>
              <w:color w:val="001B74"/>
            </w:rPr>
            <w:t xml:space="preserve">. </w:t>
          </w:r>
          <w:r w:rsidRPr="00E03E7D">
            <w:rPr>
              <w:color w:val="001B74"/>
            </w:rPr>
            <w:t>Auxiliary</w:t>
          </w:r>
          <w:r w:rsidRPr="00E03E7D">
            <w:rPr>
              <w:color w:val="001B74"/>
              <w:spacing w:val="12"/>
            </w:rPr>
            <w:t xml:space="preserve"> </w:t>
          </w:r>
          <w:r w:rsidRPr="00E03E7D">
            <w:rPr>
              <w:color w:val="001B74"/>
            </w:rPr>
            <w:t>aids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</w:rPr>
            <w:t>and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</w:rPr>
            <w:t>services</w:t>
          </w:r>
          <w:r w:rsidRPr="00E03E7D">
            <w:rPr>
              <w:color w:val="001B74"/>
              <w:spacing w:val="12"/>
            </w:rPr>
            <w:t xml:space="preserve"> </w:t>
          </w:r>
          <w:r w:rsidRPr="00E03E7D">
            <w:rPr>
              <w:color w:val="001B74"/>
            </w:rPr>
            <w:t>are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</w:rPr>
            <w:t>available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</w:rPr>
            <w:t>upon</w:t>
          </w:r>
          <w:r w:rsidRPr="00E03E7D">
            <w:rPr>
              <w:color w:val="001B74"/>
              <w:spacing w:val="12"/>
            </w:rPr>
            <w:t xml:space="preserve"> </w:t>
          </w:r>
          <w:r w:rsidRPr="00E03E7D">
            <w:rPr>
              <w:color w:val="001B74"/>
            </w:rPr>
            <w:t>request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</w:rPr>
            <w:t>to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</w:rPr>
            <w:t>individuals</w:t>
          </w:r>
          <w:r w:rsidRPr="00E03E7D">
            <w:rPr>
              <w:color w:val="001B74"/>
              <w:spacing w:val="12"/>
            </w:rPr>
            <w:t xml:space="preserve"> </w:t>
          </w:r>
          <w:r w:rsidRPr="00E03E7D">
            <w:rPr>
              <w:color w:val="001B74"/>
            </w:rPr>
            <w:t>with</w:t>
          </w:r>
          <w:r w:rsidRPr="00E03E7D">
            <w:rPr>
              <w:color w:val="001B74"/>
              <w:spacing w:val="13"/>
            </w:rPr>
            <w:t xml:space="preserve"> </w:t>
          </w:r>
          <w:r w:rsidRPr="00E03E7D">
            <w:rPr>
              <w:color w:val="001B74"/>
              <w:spacing w:val="-2"/>
            </w:rPr>
            <w:t>disabilities</w:t>
          </w:r>
          <w:r>
            <w:rPr>
              <w:color w:val="001B74"/>
              <w:spacing w:val="-2"/>
            </w:rPr>
            <w:t>.</w:t>
          </w:r>
          <w:r>
            <w:rPr>
              <w:color w:val="001B74"/>
            </w:rPr>
            <w:t xml:space="preserve"> </w:t>
          </w:r>
        </w:p>
      </w:tc>
    </w:tr>
    <w:tr w:rsidR="003434B5" w:rsidRPr="00E03E7D" w14:paraId="6DECB1E2" w14:textId="77777777" w:rsidTr="0063297E">
      <w:tc>
        <w:tcPr>
          <w:tcW w:w="10525" w:type="dxa"/>
        </w:tcPr>
        <w:p w14:paraId="158F4EA2" w14:textId="77777777" w:rsidR="003434B5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</w:rPr>
          </w:pPr>
          <w:r w:rsidRPr="00E03E7D">
            <w:rPr>
              <w:color w:val="001B74"/>
            </w:rPr>
            <w:t>Relay Texas: 800-735-2989 (TTY) and 711 (Voice)</w:t>
          </w:r>
          <w:r>
            <w:rPr>
              <w:color w:val="001B74"/>
            </w:rPr>
            <w:t xml:space="preserve"> </w:t>
          </w:r>
          <w:r w:rsidRPr="00E03E7D">
            <w:rPr>
              <w:color w:val="001B74"/>
            </w:rPr>
            <w:t xml:space="preserve">• </w:t>
          </w:r>
          <w:r>
            <w:rPr>
              <w:color w:val="001B74"/>
            </w:rPr>
            <w:t>twc.texas.gov</w:t>
          </w:r>
        </w:p>
        <w:p w14:paraId="35C86588" w14:textId="29CE88AA" w:rsidR="003434B5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</w:rPr>
          </w:pPr>
        </w:p>
        <w:p w14:paraId="63EBF396" w14:textId="0D04C28B" w:rsidR="003434B5" w:rsidRPr="00E03E7D" w:rsidRDefault="003434B5" w:rsidP="003434B5">
          <w:pPr>
            <w:pStyle w:val="BodyText"/>
            <w:spacing w:line="195" w:lineRule="exact"/>
            <w:ind w:right="282"/>
            <w:jc w:val="center"/>
            <w:rPr>
              <w:color w:val="001B74"/>
              <w:spacing w:val="-2"/>
            </w:rPr>
          </w:pPr>
        </w:p>
      </w:tc>
    </w:tr>
    <w:tr w:rsidR="003434B5" w:rsidRPr="00D570EE" w14:paraId="097DC4C8" w14:textId="77777777" w:rsidTr="0063297E">
      <w:trPr>
        <w:trHeight w:val="1268"/>
      </w:trPr>
      <w:tc>
        <w:tcPr>
          <w:tcW w:w="10525" w:type="dxa"/>
        </w:tcPr>
        <w:p w14:paraId="2C7116A0" w14:textId="735D99F4" w:rsidR="003434B5" w:rsidRPr="00D570EE" w:rsidRDefault="00C66DBC" w:rsidP="003434B5">
          <w:pPr>
            <w:pStyle w:val="BodyText"/>
            <w:spacing w:line="195" w:lineRule="exact"/>
            <w:ind w:right="282"/>
            <w:jc w:val="center"/>
            <w:rPr>
              <w:color w:val="004693"/>
              <w:sz w:val="24"/>
              <w:szCs w:val="24"/>
            </w:rPr>
          </w:pPr>
          <w:r w:rsidRPr="00D570EE">
            <w:rPr>
              <w:noProof/>
              <w:color w:val="00469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8F2D92A" wp14:editId="39E9B668">
                <wp:simplePos x="0" y="0"/>
                <wp:positionH relativeFrom="column">
                  <wp:posOffset>2124075</wp:posOffset>
                </wp:positionH>
                <wp:positionV relativeFrom="paragraph">
                  <wp:posOffset>-57150</wp:posOffset>
                </wp:positionV>
                <wp:extent cx="2082288" cy="566236"/>
                <wp:effectExtent l="0" t="0" r="0" b="5715"/>
                <wp:wrapNone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288" cy="566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E6D06C" w14:textId="77777777" w:rsidR="00B108F6" w:rsidRDefault="00B1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5995" w14:textId="1BD5E506" w:rsidR="00C82945" w:rsidRPr="00C82945" w:rsidRDefault="00C82945" w:rsidP="00C82945">
    <w:pPr>
      <w:jc w:val="center"/>
      <w:rPr>
        <w:rFonts w:ascii="Verdana" w:eastAsia="Verdana" w:hAnsi="Verdana" w:cs="Verdana"/>
        <w:sz w:val="24"/>
        <w:szCs w:val="24"/>
      </w:rPr>
    </w:pPr>
    <w:r w:rsidRPr="00C82945">
      <w:rPr>
        <w:rFonts w:ascii="Verdana" w:eastAsia="Verdana" w:hAnsi="Verdana" w:cs="Verdana"/>
        <w:sz w:val="24"/>
        <w:szCs w:val="24"/>
      </w:rPr>
      <w:t>Customized Employment Project</w:t>
    </w:r>
    <w:r w:rsidR="00D06109">
      <w:rPr>
        <w:rFonts w:ascii="Verdana" w:eastAsia="Verdana" w:hAnsi="Verdana" w:cs="Verdana"/>
        <w:sz w:val="24"/>
        <w:szCs w:val="24"/>
      </w:rPr>
      <w:t xml:space="preserve"> Vison </w:t>
    </w:r>
    <w:r w:rsidR="00BD4CE6">
      <w:rPr>
        <w:rFonts w:ascii="Verdana" w:eastAsia="Verdana" w:hAnsi="Verdana" w:cs="Verdana"/>
        <w:sz w:val="24"/>
        <w:szCs w:val="24"/>
      </w:rPr>
      <w:t>9-21-23</w:t>
    </w:r>
    <w:r w:rsidR="007A7C5B">
      <w:rPr>
        <w:rFonts w:ascii="Verdana" w:eastAsia="Verdana" w:hAnsi="Verdana" w:cs="Verdana"/>
        <w:sz w:val="24"/>
        <w:szCs w:val="24"/>
      </w:rPr>
      <w:tab/>
    </w:r>
    <w:r w:rsidR="007A7C5B">
      <w:rPr>
        <w:rFonts w:ascii="Verdana" w:eastAsia="Verdana" w:hAnsi="Verdana" w:cs="Verdana"/>
        <w:sz w:val="24"/>
        <w:szCs w:val="24"/>
      </w:rPr>
      <w:tab/>
    </w:r>
    <w:r w:rsidR="007A7C5B">
      <w:rPr>
        <w:rFonts w:ascii="Verdana" w:eastAsia="Verdana" w:hAnsi="Verdana" w:cs="Verdana"/>
        <w:sz w:val="24"/>
        <w:szCs w:val="24"/>
      </w:rPr>
      <w:tab/>
    </w:r>
    <w:r w:rsidR="007A7C5B">
      <w:rPr>
        <w:rFonts w:ascii="Verdana" w:eastAsia="Verdana" w:hAnsi="Verdana" w:cs="Verdana"/>
        <w:sz w:val="24"/>
        <w:szCs w:val="24"/>
      </w:rPr>
      <w:tab/>
    </w:r>
    <w:r w:rsidR="007A7C5B" w:rsidRPr="007A7C5B">
      <w:rPr>
        <w:rFonts w:ascii="Verdana" w:eastAsia="Verdana" w:hAnsi="Verdana" w:cs="Verdana"/>
        <w:sz w:val="24"/>
        <w:szCs w:val="24"/>
      </w:rPr>
      <w:t xml:space="preserve">Page </w:t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fldChar w:fldCharType="begin"/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instrText xml:space="preserve"> PAGE  \* Arabic  \* MERGEFORMAT </w:instrText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fldChar w:fldCharType="separate"/>
    </w:r>
    <w:r w:rsidR="007A7C5B" w:rsidRPr="007A7C5B">
      <w:rPr>
        <w:rFonts w:ascii="Verdana" w:eastAsia="Verdana" w:hAnsi="Verdana" w:cs="Verdana"/>
        <w:b/>
        <w:bCs/>
        <w:noProof/>
        <w:sz w:val="24"/>
        <w:szCs w:val="24"/>
      </w:rPr>
      <w:t>1</w:t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fldChar w:fldCharType="end"/>
    </w:r>
    <w:r w:rsidR="007A7C5B" w:rsidRPr="007A7C5B">
      <w:rPr>
        <w:rFonts w:ascii="Verdana" w:eastAsia="Verdana" w:hAnsi="Verdana" w:cs="Verdana"/>
        <w:sz w:val="24"/>
        <w:szCs w:val="24"/>
      </w:rPr>
      <w:t xml:space="preserve"> of </w:t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fldChar w:fldCharType="begin"/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instrText xml:space="preserve"> NUMPAGES  \* Arabic  \* MERGEFORMAT </w:instrText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fldChar w:fldCharType="separate"/>
    </w:r>
    <w:r w:rsidR="007A7C5B" w:rsidRPr="007A7C5B">
      <w:rPr>
        <w:rFonts w:ascii="Verdana" w:eastAsia="Verdana" w:hAnsi="Verdana" w:cs="Verdana"/>
        <w:b/>
        <w:bCs/>
        <w:noProof/>
        <w:sz w:val="24"/>
        <w:szCs w:val="24"/>
      </w:rPr>
      <w:t>2</w:t>
    </w:r>
    <w:r w:rsidR="007A7C5B" w:rsidRPr="007A7C5B">
      <w:rPr>
        <w:rFonts w:ascii="Verdana" w:eastAsia="Verdana" w:hAnsi="Verdana" w:cs="Verdana"/>
        <w:b/>
        <w:bCs/>
        <w:sz w:val="24"/>
        <w:szCs w:val="24"/>
      </w:rPr>
      <w:fldChar w:fldCharType="end"/>
    </w:r>
  </w:p>
  <w:p w14:paraId="4EC9388D" w14:textId="77777777" w:rsidR="00C82945" w:rsidRDefault="00C8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5278" w14:textId="77777777" w:rsidR="00BD0591" w:rsidRDefault="00BD0591" w:rsidP="00DF645D">
      <w:pPr>
        <w:spacing w:after="0" w:line="240" w:lineRule="auto"/>
      </w:pPr>
      <w:r>
        <w:separator/>
      </w:r>
    </w:p>
  </w:footnote>
  <w:footnote w:type="continuationSeparator" w:id="0">
    <w:p w14:paraId="59C82348" w14:textId="77777777" w:rsidR="00BD0591" w:rsidRDefault="00BD0591" w:rsidP="00DF645D">
      <w:pPr>
        <w:spacing w:after="0" w:line="240" w:lineRule="auto"/>
      </w:pPr>
      <w:r>
        <w:continuationSeparator/>
      </w:r>
    </w:p>
  </w:footnote>
  <w:footnote w:type="continuationNotice" w:id="1">
    <w:p w14:paraId="53152D60" w14:textId="77777777" w:rsidR="00BD0591" w:rsidRDefault="00BD0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1010" w14:textId="4948E516" w:rsidR="00891ACB" w:rsidRDefault="00891ACB" w:rsidP="00297738">
    <w:pPr>
      <w:pStyle w:val="Header"/>
      <w:jc w:val="center"/>
      <w:rPr>
        <w:rFonts w:ascii="Trebuchet MS" w:hAnsi="Trebuchet MS"/>
        <w:sz w:val="32"/>
        <w:szCs w:val="32"/>
      </w:rPr>
    </w:pPr>
  </w:p>
  <w:p w14:paraId="22E92627" w14:textId="77777777" w:rsidR="00297738" w:rsidRPr="00297738" w:rsidRDefault="00297738" w:rsidP="00297738">
    <w:pPr>
      <w:pStyle w:val="Header"/>
      <w:jc w:val="center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673"/>
    <w:multiLevelType w:val="multilevel"/>
    <w:tmpl w:val="83A83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A93058"/>
    <w:multiLevelType w:val="hybridMultilevel"/>
    <w:tmpl w:val="A11A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34CF"/>
    <w:multiLevelType w:val="multilevel"/>
    <w:tmpl w:val="E9F2A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522029"/>
    <w:multiLevelType w:val="hybridMultilevel"/>
    <w:tmpl w:val="E8A00378"/>
    <w:lvl w:ilvl="0" w:tplc="C4848CC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5E4"/>
    <w:multiLevelType w:val="hybridMultilevel"/>
    <w:tmpl w:val="D38C4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F66F5"/>
    <w:multiLevelType w:val="hybridMultilevel"/>
    <w:tmpl w:val="8340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5329D"/>
    <w:multiLevelType w:val="hybridMultilevel"/>
    <w:tmpl w:val="E6FE3B44"/>
    <w:lvl w:ilvl="0" w:tplc="C4848CC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620D23"/>
    <w:multiLevelType w:val="hybridMultilevel"/>
    <w:tmpl w:val="F08A5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DE6969"/>
    <w:multiLevelType w:val="hybridMultilevel"/>
    <w:tmpl w:val="5B7AEB9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1D1891"/>
    <w:multiLevelType w:val="hybridMultilevel"/>
    <w:tmpl w:val="46966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B5606"/>
    <w:multiLevelType w:val="hybridMultilevel"/>
    <w:tmpl w:val="BFA0D916"/>
    <w:lvl w:ilvl="0" w:tplc="C4848CC2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E6A11"/>
    <w:multiLevelType w:val="multilevel"/>
    <w:tmpl w:val="DB6C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5E12BC"/>
    <w:multiLevelType w:val="hybridMultilevel"/>
    <w:tmpl w:val="E506C40A"/>
    <w:lvl w:ilvl="0" w:tplc="C4848CC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6AA7"/>
    <w:multiLevelType w:val="hybridMultilevel"/>
    <w:tmpl w:val="8D40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E615E"/>
    <w:multiLevelType w:val="hybridMultilevel"/>
    <w:tmpl w:val="C844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9530F"/>
    <w:multiLevelType w:val="hybridMultilevel"/>
    <w:tmpl w:val="FD262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32CFC"/>
    <w:multiLevelType w:val="hybridMultilevel"/>
    <w:tmpl w:val="15224014"/>
    <w:lvl w:ilvl="0" w:tplc="C4848CC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67967"/>
    <w:multiLevelType w:val="hybridMultilevel"/>
    <w:tmpl w:val="19FE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706C"/>
    <w:multiLevelType w:val="multilevel"/>
    <w:tmpl w:val="76CCE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B727610"/>
    <w:multiLevelType w:val="hybridMultilevel"/>
    <w:tmpl w:val="D00862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541439F"/>
    <w:multiLevelType w:val="hybridMultilevel"/>
    <w:tmpl w:val="05F4AC48"/>
    <w:lvl w:ilvl="0" w:tplc="C4848CC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F2C66"/>
    <w:multiLevelType w:val="hybridMultilevel"/>
    <w:tmpl w:val="0E1C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55E24"/>
    <w:multiLevelType w:val="hybridMultilevel"/>
    <w:tmpl w:val="F4C01DB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153569619">
    <w:abstractNumId w:val="6"/>
  </w:num>
  <w:num w:numId="2" w16cid:durableId="1366128682">
    <w:abstractNumId w:val="3"/>
  </w:num>
  <w:num w:numId="3" w16cid:durableId="870191917">
    <w:abstractNumId w:val="10"/>
  </w:num>
  <w:num w:numId="4" w16cid:durableId="1461000932">
    <w:abstractNumId w:val="20"/>
  </w:num>
  <w:num w:numId="5" w16cid:durableId="1449349547">
    <w:abstractNumId w:val="12"/>
  </w:num>
  <w:num w:numId="6" w16cid:durableId="1819804117">
    <w:abstractNumId w:val="16"/>
  </w:num>
  <w:num w:numId="7" w16cid:durableId="1961495753">
    <w:abstractNumId w:val="19"/>
  </w:num>
  <w:num w:numId="8" w16cid:durableId="533615411">
    <w:abstractNumId w:val="8"/>
  </w:num>
  <w:num w:numId="9" w16cid:durableId="317154911">
    <w:abstractNumId w:val="14"/>
  </w:num>
  <w:num w:numId="10" w16cid:durableId="1923561628">
    <w:abstractNumId w:val="18"/>
  </w:num>
  <w:num w:numId="11" w16cid:durableId="1007976062">
    <w:abstractNumId w:val="2"/>
  </w:num>
  <w:num w:numId="12" w16cid:durableId="248080860">
    <w:abstractNumId w:val="21"/>
  </w:num>
  <w:num w:numId="13" w16cid:durableId="183984335">
    <w:abstractNumId w:val="13"/>
  </w:num>
  <w:num w:numId="14" w16cid:durableId="1278101462">
    <w:abstractNumId w:val="9"/>
  </w:num>
  <w:num w:numId="15" w16cid:durableId="1772045828">
    <w:abstractNumId w:val="5"/>
  </w:num>
  <w:num w:numId="16" w16cid:durableId="536115701">
    <w:abstractNumId w:val="22"/>
  </w:num>
  <w:num w:numId="17" w16cid:durableId="1608780671">
    <w:abstractNumId w:val="11"/>
  </w:num>
  <w:num w:numId="18" w16cid:durableId="956133140">
    <w:abstractNumId w:val="7"/>
  </w:num>
  <w:num w:numId="19" w16cid:durableId="2710020">
    <w:abstractNumId w:val="4"/>
  </w:num>
  <w:num w:numId="20" w16cid:durableId="536040535">
    <w:abstractNumId w:val="15"/>
  </w:num>
  <w:num w:numId="21" w16cid:durableId="819734708">
    <w:abstractNumId w:val="0"/>
  </w:num>
  <w:num w:numId="22" w16cid:durableId="44792586">
    <w:abstractNumId w:val="17"/>
  </w:num>
  <w:num w:numId="23" w16cid:durableId="149345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72"/>
    <w:rsid w:val="00003A73"/>
    <w:rsid w:val="00052249"/>
    <w:rsid w:val="000560F0"/>
    <w:rsid w:val="00066D86"/>
    <w:rsid w:val="00077604"/>
    <w:rsid w:val="00092FF9"/>
    <w:rsid w:val="00093D8E"/>
    <w:rsid w:val="000A499C"/>
    <w:rsid w:val="000B0879"/>
    <w:rsid w:val="000B6B94"/>
    <w:rsid w:val="000C0B5C"/>
    <w:rsid w:val="000C119D"/>
    <w:rsid w:val="000C1439"/>
    <w:rsid w:val="000D4B16"/>
    <w:rsid w:val="000D547C"/>
    <w:rsid w:val="000E1913"/>
    <w:rsid w:val="000E5C1F"/>
    <w:rsid w:val="000F0E9F"/>
    <w:rsid w:val="000F7F9F"/>
    <w:rsid w:val="001020DB"/>
    <w:rsid w:val="00103237"/>
    <w:rsid w:val="00107074"/>
    <w:rsid w:val="00110B49"/>
    <w:rsid w:val="001203F8"/>
    <w:rsid w:val="001259A4"/>
    <w:rsid w:val="00127223"/>
    <w:rsid w:val="0014345A"/>
    <w:rsid w:val="00147223"/>
    <w:rsid w:val="00154EE7"/>
    <w:rsid w:val="001931BE"/>
    <w:rsid w:val="001B2CB3"/>
    <w:rsid w:val="001B5981"/>
    <w:rsid w:val="001C0B18"/>
    <w:rsid w:val="001D1CAE"/>
    <w:rsid w:val="00200AF7"/>
    <w:rsid w:val="00203B84"/>
    <w:rsid w:val="002063B1"/>
    <w:rsid w:val="0020757E"/>
    <w:rsid w:val="00211A38"/>
    <w:rsid w:val="0021475B"/>
    <w:rsid w:val="00215F51"/>
    <w:rsid w:val="0023143D"/>
    <w:rsid w:val="00236737"/>
    <w:rsid w:val="00240F43"/>
    <w:rsid w:val="002462DB"/>
    <w:rsid w:val="002479E3"/>
    <w:rsid w:val="0025220C"/>
    <w:rsid w:val="0025381E"/>
    <w:rsid w:val="002604A2"/>
    <w:rsid w:val="00267210"/>
    <w:rsid w:val="002677D6"/>
    <w:rsid w:val="0027369A"/>
    <w:rsid w:val="002747A9"/>
    <w:rsid w:val="00276756"/>
    <w:rsid w:val="00277C5C"/>
    <w:rsid w:val="00297738"/>
    <w:rsid w:val="00297E13"/>
    <w:rsid w:val="002A1200"/>
    <w:rsid w:val="002A26B1"/>
    <w:rsid w:val="002B2339"/>
    <w:rsid w:val="002B39F6"/>
    <w:rsid w:val="002B4B6D"/>
    <w:rsid w:val="002B5481"/>
    <w:rsid w:val="002D028F"/>
    <w:rsid w:val="002D4305"/>
    <w:rsid w:val="002D7CF6"/>
    <w:rsid w:val="002F0928"/>
    <w:rsid w:val="00303E27"/>
    <w:rsid w:val="00317CFC"/>
    <w:rsid w:val="00317E99"/>
    <w:rsid w:val="0033313B"/>
    <w:rsid w:val="00340EB6"/>
    <w:rsid w:val="003434B5"/>
    <w:rsid w:val="00344B98"/>
    <w:rsid w:val="0035065D"/>
    <w:rsid w:val="00351419"/>
    <w:rsid w:val="00360941"/>
    <w:rsid w:val="00361678"/>
    <w:rsid w:val="00363249"/>
    <w:rsid w:val="003833CF"/>
    <w:rsid w:val="00383C0E"/>
    <w:rsid w:val="003A26E3"/>
    <w:rsid w:val="003B1EB3"/>
    <w:rsid w:val="003B314F"/>
    <w:rsid w:val="003D0E59"/>
    <w:rsid w:val="003F1659"/>
    <w:rsid w:val="003F1DE3"/>
    <w:rsid w:val="004026C3"/>
    <w:rsid w:val="00406185"/>
    <w:rsid w:val="0041578A"/>
    <w:rsid w:val="004221FB"/>
    <w:rsid w:val="004310BD"/>
    <w:rsid w:val="00450B47"/>
    <w:rsid w:val="004607F0"/>
    <w:rsid w:val="00464852"/>
    <w:rsid w:val="00466BA4"/>
    <w:rsid w:val="00470439"/>
    <w:rsid w:val="00471E43"/>
    <w:rsid w:val="00475AFB"/>
    <w:rsid w:val="00475B54"/>
    <w:rsid w:val="00476F16"/>
    <w:rsid w:val="004955CE"/>
    <w:rsid w:val="004A0AE2"/>
    <w:rsid w:val="004A2483"/>
    <w:rsid w:val="004D2371"/>
    <w:rsid w:val="004D6660"/>
    <w:rsid w:val="004E61F1"/>
    <w:rsid w:val="004F272D"/>
    <w:rsid w:val="00507066"/>
    <w:rsid w:val="00513979"/>
    <w:rsid w:val="00516086"/>
    <w:rsid w:val="00516840"/>
    <w:rsid w:val="00520501"/>
    <w:rsid w:val="00524AB0"/>
    <w:rsid w:val="0053239F"/>
    <w:rsid w:val="00535992"/>
    <w:rsid w:val="00543B67"/>
    <w:rsid w:val="005500AC"/>
    <w:rsid w:val="00550FB8"/>
    <w:rsid w:val="00556967"/>
    <w:rsid w:val="005649DC"/>
    <w:rsid w:val="00564F4A"/>
    <w:rsid w:val="00574B9C"/>
    <w:rsid w:val="00575DBC"/>
    <w:rsid w:val="0057711F"/>
    <w:rsid w:val="0059673D"/>
    <w:rsid w:val="005979A1"/>
    <w:rsid w:val="005A0B71"/>
    <w:rsid w:val="005A3119"/>
    <w:rsid w:val="005A32E3"/>
    <w:rsid w:val="005D27DE"/>
    <w:rsid w:val="005D2F8F"/>
    <w:rsid w:val="005D37DF"/>
    <w:rsid w:val="005D3E58"/>
    <w:rsid w:val="005E1A90"/>
    <w:rsid w:val="005E34D5"/>
    <w:rsid w:val="005F28EC"/>
    <w:rsid w:val="005F4926"/>
    <w:rsid w:val="005F6954"/>
    <w:rsid w:val="006103E7"/>
    <w:rsid w:val="00611FE0"/>
    <w:rsid w:val="00613663"/>
    <w:rsid w:val="0061476C"/>
    <w:rsid w:val="00635C18"/>
    <w:rsid w:val="00641A8B"/>
    <w:rsid w:val="0064476D"/>
    <w:rsid w:val="00646F0D"/>
    <w:rsid w:val="00662FB1"/>
    <w:rsid w:val="006660C9"/>
    <w:rsid w:val="00666745"/>
    <w:rsid w:val="006678B8"/>
    <w:rsid w:val="00671787"/>
    <w:rsid w:val="00675E68"/>
    <w:rsid w:val="00684B43"/>
    <w:rsid w:val="0069388C"/>
    <w:rsid w:val="00693C6C"/>
    <w:rsid w:val="00694E4C"/>
    <w:rsid w:val="006B4FF2"/>
    <w:rsid w:val="006B511C"/>
    <w:rsid w:val="006C39D1"/>
    <w:rsid w:val="006C471B"/>
    <w:rsid w:val="006C784F"/>
    <w:rsid w:val="006F6548"/>
    <w:rsid w:val="00707CA9"/>
    <w:rsid w:val="0071327A"/>
    <w:rsid w:val="00717D7B"/>
    <w:rsid w:val="00726F7B"/>
    <w:rsid w:val="007334ED"/>
    <w:rsid w:val="0075067D"/>
    <w:rsid w:val="00762753"/>
    <w:rsid w:val="007636BD"/>
    <w:rsid w:val="00776954"/>
    <w:rsid w:val="007853ED"/>
    <w:rsid w:val="00787531"/>
    <w:rsid w:val="00795431"/>
    <w:rsid w:val="007A0703"/>
    <w:rsid w:val="007A4BAF"/>
    <w:rsid w:val="007A7C5B"/>
    <w:rsid w:val="007C57E2"/>
    <w:rsid w:val="007C5A4A"/>
    <w:rsid w:val="007D526F"/>
    <w:rsid w:val="007E2597"/>
    <w:rsid w:val="007F4C2D"/>
    <w:rsid w:val="0081350C"/>
    <w:rsid w:val="00813945"/>
    <w:rsid w:val="008149A1"/>
    <w:rsid w:val="00822EF8"/>
    <w:rsid w:val="00826091"/>
    <w:rsid w:val="0084583F"/>
    <w:rsid w:val="008462ED"/>
    <w:rsid w:val="00850F6C"/>
    <w:rsid w:val="00866F3F"/>
    <w:rsid w:val="0087061D"/>
    <w:rsid w:val="00870834"/>
    <w:rsid w:val="0088590D"/>
    <w:rsid w:val="00891ACB"/>
    <w:rsid w:val="008922BF"/>
    <w:rsid w:val="008B0763"/>
    <w:rsid w:val="008B246B"/>
    <w:rsid w:val="008D2FD9"/>
    <w:rsid w:val="008D3FD0"/>
    <w:rsid w:val="008D4B66"/>
    <w:rsid w:val="008D6953"/>
    <w:rsid w:val="008D6956"/>
    <w:rsid w:val="008F21A9"/>
    <w:rsid w:val="008F6E83"/>
    <w:rsid w:val="0090785A"/>
    <w:rsid w:val="00921AA2"/>
    <w:rsid w:val="00926A0F"/>
    <w:rsid w:val="0093044A"/>
    <w:rsid w:val="0096038B"/>
    <w:rsid w:val="00962B8E"/>
    <w:rsid w:val="00964114"/>
    <w:rsid w:val="009706C3"/>
    <w:rsid w:val="00986871"/>
    <w:rsid w:val="00987CB5"/>
    <w:rsid w:val="009C5EC9"/>
    <w:rsid w:val="009C7D9F"/>
    <w:rsid w:val="009D0F88"/>
    <w:rsid w:val="009D3ACD"/>
    <w:rsid w:val="009D6802"/>
    <w:rsid w:val="009E6B3C"/>
    <w:rsid w:val="009F070A"/>
    <w:rsid w:val="009F3698"/>
    <w:rsid w:val="00A03F91"/>
    <w:rsid w:val="00A115EE"/>
    <w:rsid w:val="00A20DB0"/>
    <w:rsid w:val="00A319FE"/>
    <w:rsid w:val="00A31D78"/>
    <w:rsid w:val="00A43ED3"/>
    <w:rsid w:val="00A44205"/>
    <w:rsid w:val="00A51DCD"/>
    <w:rsid w:val="00A568D8"/>
    <w:rsid w:val="00A61C87"/>
    <w:rsid w:val="00A77D99"/>
    <w:rsid w:val="00A92B0F"/>
    <w:rsid w:val="00AB1F54"/>
    <w:rsid w:val="00AC39A1"/>
    <w:rsid w:val="00AC705B"/>
    <w:rsid w:val="00AD2E39"/>
    <w:rsid w:val="00AF3162"/>
    <w:rsid w:val="00AF4DD9"/>
    <w:rsid w:val="00B014BB"/>
    <w:rsid w:val="00B108F6"/>
    <w:rsid w:val="00B10988"/>
    <w:rsid w:val="00B171C9"/>
    <w:rsid w:val="00B23741"/>
    <w:rsid w:val="00B32ADC"/>
    <w:rsid w:val="00B33207"/>
    <w:rsid w:val="00B33FA8"/>
    <w:rsid w:val="00B34469"/>
    <w:rsid w:val="00B417A4"/>
    <w:rsid w:val="00B541A0"/>
    <w:rsid w:val="00B54612"/>
    <w:rsid w:val="00B61423"/>
    <w:rsid w:val="00B6246C"/>
    <w:rsid w:val="00B7500F"/>
    <w:rsid w:val="00B845F6"/>
    <w:rsid w:val="00B87C72"/>
    <w:rsid w:val="00B9479D"/>
    <w:rsid w:val="00BA41DC"/>
    <w:rsid w:val="00BA6728"/>
    <w:rsid w:val="00BB59CB"/>
    <w:rsid w:val="00BB70E6"/>
    <w:rsid w:val="00BC7995"/>
    <w:rsid w:val="00BD0591"/>
    <w:rsid w:val="00BD4CE6"/>
    <w:rsid w:val="00BD686A"/>
    <w:rsid w:val="00BE47A7"/>
    <w:rsid w:val="00BF1EFD"/>
    <w:rsid w:val="00BF330A"/>
    <w:rsid w:val="00C01870"/>
    <w:rsid w:val="00C020A7"/>
    <w:rsid w:val="00C049D5"/>
    <w:rsid w:val="00C06160"/>
    <w:rsid w:val="00C13A13"/>
    <w:rsid w:val="00C13A5F"/>
    <w:rsid w:val="00C21E3F"/>
    <w:rsid w:val="00C414C6"/>
    <w:rsid w:val="00C46C7C"/>
    <w:rsid w:val="00C51A0A"/>
    <w:rsid w:val="00C53D26"/>
    <w:rsid w:val="00C62274"/>
    <w:rsid w:val="00C66DBC"/>
    <w:rsid w:val="00C76DD6"/>
    <w:rsid w:val="00C82945"/>
    <w:rsid w:val="00C83902"/>
    <w:rsid w:val="00C90112"/>
    <w:rsid w:val="00CA5929"/>
    <w:rsid w:val="00CC2556"/>
    <w:rsid w:val="00CC6758"/>
    <w:rsid w:val="00CD0732"/>
    <w:rsid w:val="00CD3B55"/>
    <w:rsid w:val="00CE1874"/>
    <w:rsid w:val="00CE404E"/>
    <w:rsid w:val="00CE6CF5"/>
    <w:rsid w:val="00CF20B4"/>
    <w:rsid w:val="00D06109"/>
    <w:rsid w:val="00D145EF"/>
    <w:rsid w:val="00D3623F"/>
    <w:rsid w:val="00D43865"/>
    <w:rsid w:val="00D43B40"/>
    <w:rsid w:val="00D464B7"/>
    <w:rsid w:val="00D7023D"/>
    <w:rsid w:val="00D71759"/>
    <w:rsid w:val="00D77DF1"/>
    <w:rsid w:val="00D83DA4"/>
    <w:rsid w:val="00D915E7"/>
    <w:rsid w:val="00D92171"/>
    <w:rsid w:val="00D93C2C"/>
    <w:rsid w:val="00D93F7F"/>
    <w:rsid w:val="00DC0CFE"/>
    <w:rsid w:val="00DC69EA"/>
    <w:rsid w:val="00DC7C50"/>
    <w:rsid w:val="00DE03E9"/>
    <w:rsid w:val="00DE5395"/>
    <w:rsid w:val="00DE5F6E"/>
    <w:rsid w:val="00DF645D"/>
    <w:rsid w:val="00E00E72"/>
    <w:rsid w:val="00E02DC7"/>
    <w:rsid w:val="00E02EB9"/>
    <w:rsid w:val="00E045CC"/>
    <w:rsid w:val="00E056FA"/>
    <w:rsid w:val="00E10F22"/>
    <w:rsid w:val="00E139B1"/>
    <w:rsid w:val="00E21865"/>
    <w:rsid w:val="00E21E55"/>
    <w:rsid w:val="00E22D1B"/>
    <w:rsid w:val="00E3437B"/>
    <w:rsid w:val="00E4318F"/>
    <w:rsid w:val="00E4394C"/>
    <w:rsid w:val="00E5082F"/>
    <w:rsid w:val="00E56763"/>
    <w:rsid w:val="00E60181"/>
    <w:rsid w:val="00E6137B"/>
    <w:rsid w:val="00E80015"/>
    <w:rsid w:val="00E82265"/>
    <w:rsid w:val="00E854CC"/>
    <w:rsid w:val="00E907D4"/>
    <w:rsid w:val="00E95388"/>
    <w:rsid w:val="00EA16C2"/>
    <w:rsid w:val="00EA57A1"/>
    <w:rsid w:val="00EA7900"/>
    <w:rsid w:val="00EB3FB3"/>
    <w:rsid w:val="00EB41F3"/>
    <w:rsid w:val="00EC1260"/>
    <w:rsid w:val="00EC1A53"/>
    <w:rsid w:val="00EC5B1E"/>
    <w:rsid w:val="00ED6E44"/>
    <w:rsid w:val="00ED72BB"/>
    <w:rsid w:val="00EE3B1B"/>
    <w:rsid w:val="00EE3BE2"/>
    <w:rsid w:val="00EF01FB"/>
    <w:rsid w:val="00EF0C83"/>
    <w:rsid w:val="00F01869"/>
    <w:rsid w:val="00F03505"/>
    <w:rsid w:val="00F125BF"/>
    <w:rsid w:val="00F168E4"/>
    <w:rsid w:val="00F177D7"/>
    <w:rsid w:val="00F20658"/>
    <w:rsid w:val="00F2114F"/>
    <w:rsid w:val="00F21DE2"/>
    <w:rsid w:val="00F21F65"/>
    <w:rsid w:val="00F2525C"/>
    <w:rsid w:val="00F25295"/>
    <w:rsid w:val="00F31E80"/>
    <w:rsid w:val="00F418CF"/>
    <w:rsid w:val="00F44EBF"/>
    <w:rsid w:val="00F56535"/>
    <w:rsid w:val="00F653D5"/>
    <w:rsid w:val="00F72DAE"/>
    <w:rsid w:val="00F73B25"/>
    <w:rsid w:val="00F95795"/>
    <w:rsid w:val="00FA1C29"/>
    <w:rsid w:val="00FA40F6"/>
    <w:rsid w:val="00FD2B56"/>
    <w:rsid w:val="00FE1805"/>
    <w:rsid w:val="00FE6E13"/>
    <w:rsid w:val="00FE7F8D"/>
    <w:rsid w:val="00FF1168"/>
    <w:rsid w:val="00FF3D96"/>
    <w:rsid w:val="0FF059FC"/>
    <w:rsid w:val="1C315F5E"/>
    <w:rsid w:val="4C597C50"/>
    <w:rsid w:val="4CC4B17B"/>
    <w:rsid w:val="5BAE0D2D"/>
    <w:rsid w:val="6093B819"/>
    <w:rsid w:val="71CD2DCF"/>
    <w:rsid w:val="720503CD"/>
    <w:rsid w:val="7734D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3AE7"/>
  <w15:docId w15:val="{F1CC6A2B-0C25-49E2-99FF-AA4CDC1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1BE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5D"/>
  </w:style>
  <w:style w:type="paragraph" w:styleId="Footer">
    <w:name w:val="footer"/>
    <w:basedOn w:val="Normal"/>
    <w:link w:val="FooterChar"/>
    <w:uiPriority w:val="99"/>
    <w:unhideWhenUsed/>
    <w:rsid w:val="00DF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5D"/>
  </w:style>
  <w:style w:type="paragraph" w:styleId="ListParagraph">
    <w:name w:val="List Paragraph"/>
    <w:basedOn w:val="Normal"/>
    <w:uiPriority w:val="34"/>
    <w:qFormat/>
    <w:rsid w:val="00987CB5"/>
    <w:pPr>
      <w:ind w:left="720"/>
      <w:contextualSpacing/>
    </w:pPr>
  </w:style>
  <w:style w:type="paragraph" w:customStyle="1" w:styleId="m5990221978191000979m-1957677159420271958text-align-center">
    <w:name w:val="m_5990221978191000979m-1957677159420271958text-align-center"/>
    <w:basedOn w:val="Normal"/>
    <w:rsid w:val="0081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5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9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26B1"/>
    <w:pPr>
      <w:spacing w:after="0" w:line="240" w:lineRule="auto"/>
      <w:ind w:right="288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A26B1"/>
    <w:rPr>
      <w:rFonts w:ascii="Times New Roman" w:eastAsia="Times New Roman" w:hAnsi="Times New Roman" w:cs="Times New Roman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931BE"/>
    <w:rPr>
      <w:rFonts w:ascii="Verdana" w:eastAsiaTheme="majorEastAsia" w:hAnsi="Verdan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CD29C4DCC418C9AB1A48A9E82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3451-DA50-4385-A606-78B383B6769D}"/>
      </w:docPartPr>
      <w:docPartBody>
        <w:p w:rsidR="00115F6C" w:rsidRDefault="00115F6C" w:rsidP="00115F6C">
          <w:pPr>
            <w:pStyle w:val="5BACD29C4DCC418C9AB1A48A9E82ACB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C"/>
    <w:rsid w:val="00115F6C"/>
    <w:rsid w:val="00266892"/>
    <w:rsid w:val="00B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CD29C4DCC418C9AB1A48A9E82ACB5">
    <w:name w:val="5BACD29C4DCC418C9AB1A48A9E82ACB5"/>
    <w:rsid w:val="00115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Type xmlns="43a28cd6-b0ae-4207-9828-8b3ed6660a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62A62D75F8C44905891F608D73247" ma:contentTypeVersion="7" ma:contentTypeDescription="Create a new document." ma:contentTypeScope="" ma:versionID="745c638a6dd4505c4fe18eb185fd31ce">
  <xsd:schema xmlns:xsd="http://www.w3.org/2001/XMLSchema" xmlns:xs="http://www.w3.org/2001/XMLSchema" xmlns:p="http://schemas.microsoft.com/office/2006/metadata/properties" xmlns:ns2="43a28cd6-b0ae-4207-9828-8b3ed6660a13" xmlns:ns3="714260b3-7ebc-4357-93ce-8457020a85f3" targetNamespace="http://schemas.microsoft.com/office/2006/metadata/properties" ma:root="true" ma:fieldsID="e2b57f0e8ccba4ab5e2717a33a3d18e5" ns2:_="" ns3:_="">
    <xsd:import namespace="43a28cd6-b0ae-4207-9828-8b3ed6660a13"/>
    <xsd:import namespace="714260b3-7ebc-4357-93ce-8457020a8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etingTyp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28cd6-b0ae-4207-9828-8b3ed666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etingType" ma:index="10" nillable="true" ma:displayName="Meeting Type" ma:format="Dropdown" ma:internalName="MeetingType">
      <xsd:simpleType>
        <xsd:restriction base="dms:Choice">
          <xsd:enumeration value="Internal (VR Team)"/>
          <xsd:enumeration value="Planning"/>
          <xsd:enumeration value="TA- SDSU"/>
          <xsd:enumeration value="TA- GHA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60b3-7ebc-4357-93ce-8457020a8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C0E91-78CE-41A9-8003-71DD361FA04E}">
  <ds:schemaRefs>
    <ds:schemaRef ds:uri="http://schemas.microsoft.com/office/2006/metadata/properties"/>
    <ds:schemaRef ds:uri="http://schemas.microsoft.com/office/infopath/2007/PartnerControls"/>
    <ds:schemaRef ds:uri="43a28cd6-b0ae-4207-9828-8b3ed6660a13"/>
  </ds:schemaRefs>
</ds:datastoreItem>
</file>

<file path=customXml/itemProps2.xml><?xml version="1.0" encoding="utf-8"?>
<ds:datastoreItem xmlns:ds="http://schemas.openxmlformats.org/officeDocument/2006/customXml" ds:itemID="{0CA4064A-09A1-4DDB-A5B8-C5FF5BB2A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38617-CF0A-4185-BC39-741AD350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28cd6-b0ae-4207-9828-8b3ed6660a13"/>
    <ds:schemaRef ds:uri="714260b3-7ebc-4357-93ce-8457020a8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Vision</vt:lpstr>
    </vt:vector>
  </TitlesOfParts>
  <Company>State of South Dakota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Vision</dc:title>
  <dc:subject/>
  <dc:creator>Lynch, Ronda</dc:creator>
  <cp:keywords/>
  <cp:lastModifiedBy>Martin-Hudson,Bonnie</cp:lastModifiedBy>
  <cp:revision>2</cp:revision>
  <cp:lastPrinted>2024-02-06T23:31:00Z</cp:lastPrinted>
  <dcterms:created xsi:type="dcterms:W3CDTF">2024-02-07T21:58:00Z</dcterms:created>
  <dcterms:modified xsi:type="dcterms:W3CDTF">2024-02-07T21:58:00Z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0x01010016562A62D75F8C44905891F608D73247</vt:lpwstr>
  </property>
</Properties>
</file>