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153E5" w14:textId="45CEE862" w:rsidR="00683203" w:rsidRPr="0092407E" w:rsidRDefault="00DF7EA2" w:rsidP="00683203">
      <w:pPr>
        <w:pStyle w:val="Header"/>
        <w:jc w:val="center"/>
        <w:rPr>
          <w:rFonts w:ascii="Times New Roman" w:hAnsi="Times New Roman" w:cs="Times New Roman"/>
          <w:b/>
          <w:caps/>
          <w:color w:val="000000"/>
          <w:sz w:val="24"/>
          <w:szCs w:val="24"/>
        </w:rPr>
      </w:pPr>
      <w:bookmarkStart w:id="0" w:name="_GoBack"/>
      <w:bookmarkEnd w:id="0"/>
      <w:r>
        <w:rPr>
          <w:rFonts w:ascii="Times New Roman" w:hAnsi="Times New Roman" w:cs="Times New Roman"/>
          <w:b/>
          <w:color w:val="000000"/>
          <w:sz w:val="24"/>
          <w:szCs w:val="24"/>
        </w:rPr>
        <w:t>Texas Workforce Awards</w:t>
      </w:r>
    </w:p>
    <w:p w14:paraId="66CC5600" w14:textId="3F9DFE5A" w:rsidR="00806244" w:rsidRPr="0092407E" w:rsidRDefault="00683203" w:rsidP="00683203">
      <w:pPr>
        <w:pStyle w:val="Header"/>
        <w:jc w:val="center"/>
        <w:rPr>
          <w:rFonts w:ascii="Times New Roman" w:hAnsi="Times New Roman" w:cs="Times New Roman"/>
          <w:b/>
          <w:caps/>
          <w:color w:val="000000"/>
          <w:sz w:val="24"/>
          <w:szCs w:val="24"/>
        </w:rPr>
      </w:pPr>
      <w:r w:rsidRPr="0092407E">
        <w:rPr>
          <w:rFonts w:ascii="Times New Roman" w:hAnsi="Times New Roman" w:cs="Times New Roman"/>
          <w:b/>
          <w:color w:val="000000"/>
          <w:sz w:val="24"/>
          <w:szCs w:val="24"/>
        </w:rPr>
        <w:t>Discussion Paper</w:t>
      </w:r>
      <w:r w:rsidR="008C42D9">
        <w:rPr>
          <w:rFonts w:ascii="Times New Roman" w:hAnsi="Times New Roman" w:cs="Times New Roman"/>
          <w:b/>
          <w:color w:val="000000"/>
          <w:sz w:val="24"/>
          <w:szCs w:val="24"/>
        </w:rPr>
        <w:t xml:space="preserve"> </w:t>
      </w:r>
    </w:p>
    <w:p w14:paraId="480C27B9" w14:textId="77777777" w:rsidR="005F3165" w:rsidRPr="00683203" w:rsidRDefault="005F3165" w:rsidP="0082717F">
      <w:pPr>
        <w:spacing w:after="0" w:line="240" w:lineRule="auto"/>
        <w:rPr>
          <w:rFonts w:ascii="Times New Roman" w:hAnsi="Times New Roman" w:cs="Times New Roman"/>
          <w:sz w:val="24"/>
          <w:szCs w:val="24"/>
        </w:rPr>
      </w:pPr>
    </w:p>
    <w:p w14:paraId="155CC95D" w14:textId="45881D0E" w:rsidR="0057033D" w:rsidRPr="0092407E" w:rsidRDefault="00BE2955" w:rsidP="0082717F">
      <w:pPr>
        <w:spacing w:after="0" w:line="240" w:lineRule="auto"/>
        <w:rPr>
          <w:rFonts w:ascii="Times New Roman" w:hAnsi="Times New Roman" w:cs="Times New Roman"/>
          <w:sz w:val="24"/>
          <w:szCs w:val="24"/>
        </w:rPr>
      </w:pPr>
      <w:bookmarkStart w:id="1" w:name="_Hlk519167788"/>
      <w:r w:rsidRPr="0092407E">
        <w:rPr>
          <w:rFonts w:ascii="Times New Roman" w:hAnsi="Times New Roman" w:cs="Times New Roman"/>
          <w:b/>
          <w:sz w:val="24"/>
          <w:szCs w:val="24"/>
        </w:rPr>
        <w:t>Background</w:t>
      </w:r>
    </w:p>
    <w:bookmarkEnd w:id="1"/>
    <w:p w14:paraId="096EC57B" w14:textId="5292FE18" w:rsidR="00DF7EA2" w:rsidRPr="00DF7EA2" w:rsidRDefault="00DF7EA2" w:rsidP="00DF7EA2">
      <w:pPr>
        <w:spacing w:after="0" w:line="240" w:lineRule="auto"/>
        <w:rPr>
          <w:rFonts w:ascii="Times New Roman" w:hAnsi="Times New Roman" w:cs="Times New Roman"/>
          <w:sz w:val="24"/>
          <w:szCs w:val="24"/>
        </w:rPr>
      </w:pPr>
      <w:r w:rsidRPr="00DF7EA2">
        <w:rPr>
          <w:rFonts w:ascii="Times New Roman" w:hAnsi="Times New Roman" w:cs="Times New Roman"/>
          <w:sz w:val="24"/>
          <w:szCs w:val="24"/>
        </w:rPr>
        <w:t xml:space="preserve">Texas Workforce Commission (TWC) </w:t>
      </w:r>
      <w:r w:rsidR="00E83D18">
        <w:rPr>
          <w:rFonts w:ascii="Times New Roman" w:hAnsi="Times New Roman" w:cs="Times New Roman"/>
          <w:sz w:val="24"/>
          <w:szCs w:val="24"/>
        </w:rPr>
        <w:t xml:space="preserve">Integrity of the </w:t>
      </w:r>
      <w:r w:rsidR="001F5C88">
        <w:rPr>
          <w:rFonts w:ascii="Times New Roman" w:hAnsi="Times New Roman" w:cs="Times New Roman"/>
          <w:sz w:val="24"/>
          <w:szCs w:val="24"/>
        </w:rPr>
        <w:t xml:space="preserve">Texas </w:t>
      </w:r>
      <w:r w:rsidR="00E83D18">
        <w:rPr>
          <w:rFonts w:ascii="Times New Roman" w:hAnsi="Times New Roman" w:cs="Times New Roman"/>
          <w:sz w:val="24"/>
          <w:szCs w:val="24"/>
        </w:rPr>
        <w:t xml:space="preserve">Workforce System </w:t>
      </w:r>
      <w:r w:rsidRPr="00DF7EA2">
        <w:rPr>
          <w:rFonts w:ascii="Times New Roman" w:hAnsi="Times New Roman" w:cs="Times New Roman"/>
          <w:sz w:val="24"/>
          <w:szCs w:val="24"/>
        </w:rPr>
        <w:t xml:space="preserve">rules at </w:t>
      </w:r>
      <w:hyperlink r:id="rId8" w:history="1">
        <w:r w:rsidRPr="00A62404">
          <w:rPr>
            <w:rStyle w:val="Hyperlink"/>
            <w:rFonts w:ascii="Times New Roman" w:hAnsi="Times New Roman" w:cs="Times New Roman"/>
            <w:sz w:val="24"/>
            <w:szCs w:val="24"/>
          </w:rPr>
          <w:t>40 TAC Chapter 802, Subchapter I</w:t>
        </w:r>
      </w:hyperlink>
      <w:r w:rsidRPr="00DF7EA2">
        <w:rPr>
          <w:rFonts w:ascii="Times New Roman" w:hAnsi="Times New Roman" w:cs="Times New Roman"/>
          <w:sz w:val="24"/>
          <w:szCs w:val="24"/>
        </w:rPr>
        <w:t xml:space="preserve">, allow TWC’s three-member Commission (Commission) to establish monetary and nonmonetary awards to encourage and </w:t>
      </w:r>
      <w:r w:rsidR="00EF052E">
        <w:rPr>
          <w:rFonts w:ascii="Times New Roman" w:hAnsi="Times New Roman" w:cs="Times New Roman"/>
          <w:sz w:val="24"/>
          <w:szCs w:val="24"/>
        </w:rPr>
        <w:t>recognize</w:t>
      </w:r>
      <w:r w:rsidR="00EF052E" w:rsidRPr="00DF7EA2">
        <w:rPr>
          <w:rFonts w:ascii="Times New Roman" w:hAnsi="Times New Roman" w:cs="Times New Roman"/>
          <w:sz w:val="24"/>
          <w:szCs w:val="24"/>
        </w:rPr>
        <w:t xml:space="preserve"> </w:t>
      </w:r>
      <w:r w:rsidRPr="00DF7EA2">
        <w:rPr>
          <w:rFonts w:ascii="Times New Roman" w:hAnsi="Times New Roman" w:cs="Times New Roman"/>
          <w:sz w:val="24"/>
          <w:szCs w:val="24"/>
        </w:rPr>
        <w:t>the work of Local Workforce Development Boards (Boards), Adult Education and Literacy (AEL) grantees, Vocational Rehabilitation (VR) Services, employers, community colleges</w:t>
      </w:r>
      <w:r>
        <w:rPr>
          <w:rFonts w:ascii="Times New Roman" w:hAnsi="Times New Roman" w:cs="Times New Roman"/>
          <w:sz w:val="24"/>
          <w:szCs w:val="24"/>
        </w:rPr>
        <w:t>, and other workforce partners.</w:t>
      </w:r>
    </w:p>
    <w:p w14:paraId="799ABB66" w14:textId="77777777" w:rsidR="00DF7EA2" w:rsidRPr="00DF7EA2" w:rsidRDefault="00DF7EA2" w:rsidP="00DF7EA2">
      <w:pPr>
        <w:spacing w:after="0" w:line="240" w:lineRule="auto"/>
        <w:rPr>
          <w:rFonts w:ascii="Times New Roman" w:hAnsi="Times New Roman" w:cs="Times New Roman"/>
          <w:sz w:val="24"/>
          <w:szCs w:val="24"/>
        </w:rPr>
      </w:pPr>
    </w:p>
    <w:p w14:paraId="6168FD09" w14:textId="2CF18BBB" w:rsidR="00DF7EA2" w:rsidRPr="00DF7EA2" w:rsidRDefault="00DF7EA2" w:rsidP="00DF7EA2">
      <w:pPr>
        <w:spacing w:after="0" w:line="240" w:lineRule="auto"/>
        <w:rPr>
          <w:rFonts w:ascii="Times New Roman" w:hAnsi="Times New Roman" w:cs="Times New Roman"/>
          <w:sz w:val="24"/>
          <w:szCs w:val="24"/>
        </w:rPr>
      </w:pPr>
      <w:r w:rsidRPr="00DF7EA2">
        <w:rPr>
          <w:rFonts w:ascii="Times New Roman" w:hAnsi="Times New Roman" w:cs="Times New Roman"/>
          <w:sz w:val="24"/>
          <w:szCs w:val="24"/>
        </w:rPr>
        <w:t xml:space="preserve">Some awards are based on </w:t>
      </w:r>
      <w:r w:rsidR="00FF554E">
        <w:rPr>
          <w:rFonts w:ascii="Times New Roman" w:hAnsi="Times New Roman" w:cs="Times New Roman"/>
          <w:sz w:val="24"/>
          <w:szCs w:val="24"/>
        </w:rPr>
        <w:t xml:space="preserve">evaluation of </w:t>
      </w:r>
      <w:r w:rsidRPr="00DF7EA2">
        <w:rPr>
          <w:rFonts w:ascii="Times New Roman" w:hAnsi="Times New Roman" w:cs="Times New Roman"/>
          <w:sz w:val="24"/>
          <w:szCs w:val="24"/>
        </w:rPr>
        <w:t>nominations</w:t>
      </w:r>
      <w:r w:rsidR="00FF554E">
        <w:rPr>
          <w:rFonts w:ascii="Times New Roman" w:hAnsi="Times New Roman" w:cs="Times New Roman"/>
          <w:sz w:val="24"/>
          <w:szCs w:val="24"/>
        </w:rPr>
        <w:t xml:space="preserve"> submitted by Boards</w:t>
      </w:r>
      <w:r w:rsidRPr="00DF7EA2">
        <w:rPr>
          <w:rFonts w:ascii="Times New Roman" w:hAnsi="Times New Roman" w:cs="Times New Roman"/>
          <w:sz w:val="24"/>
          <w:szCs w:val="24"/>
        </w:rPr>
        <w:t xml:space="preserve">, </w:t>
      </w:r>
      <w:r w:rsidR="00CF6B76">
        <w:rPr>
          <w:rFonts w:ascii="Times New Roman" w:hAnsi="Times New Roman" w:cs="Times New Roman"/>
          <w:sz w:val="24"/>
          <w:szCs w:val="24"/>
        </w:rPr>
        <w:t>and</w:t>
      </w:r>
      <w:r w:rsidR="00CF6B76" w:rsidRPr="00DF7EA2">
        <w:rPr>
          <w:rFonts w:ascii="Times New Roman" w:hAnsi="Times New Roman" w:cs="Times New Roman"/>
          <w:sz w:val="24"/>
          <w:szCs w:val="24"/>
        </w:rPr>
        <w:t xml:space="preserve"> </w:t>
      </w:r>
      <w:r w:rsidRPr="00DF7EA2">
        <w:rPr>
          <w:rFonts w:ascii="Times New Roman" w:hAnsi="Times New Roman" w:cs="Times New Roman"/>
          <w:sz w:val="24"/>
          <w:szCs w:val="24"/>
        </w:rPr>
        <w:t xml:space="preserve">others are based on </w:t>
      </w:r>
      <w:r w:rsidR="00FF554E">
        <w:rPr>
          <w:rFonts w:ascii="Times New Roman" w:hAnsi="Times New Roman" w:cs="Times New Roman"/>
          <w:sz w:val="24"/>
          <w:szCs w:val="24"/>
        </w:rPr>
        <w:t xml:space="preserve">data-driven </w:t>
      </w:r>
      <w:r w:rsidRPr="00DF7EA2">
        <w:rPr>
          <w:rFonts w:ascii="Times New Roman" w:hAnsi="Times New Roman" w:cs="Times New Roman"/>
          <w:sz w:val="24"/>
          <w:szCs w:val="24"/>
        </w:rPr>
        <w:t xml:space="preserve">performance outcomes. TWC rule §802.166 allows the Commission to specify incentive award criteria and weighting to be used to evaluate Board performance for the issuance of Board Performance Incentive Awards. The chief requirements are that criteria be measurable (although TWC is not limited to “official” measures) and that there is a means </w:t>
      </w:r>
      <w:r w:rsidR="00CF6B76">
        <w:rPr>
          <w:rFonts w:ascii="Times New Roman" w:hAnsi="Times New Roman" w:cs="Times New Roman"/>
          <w:sz w:val="24"/>
          <w:szCs w:val="24"/>
        </w:rPr>
        <w:t>to</w:t>
      </w:r>
      <w:r w:rsidR="00CF6B76" w:rsidRPr="00DF7EA2">
        <w:rPr>
          <w:rFonts w:ascii="Times New Roman" w:hAnsi="Times New Roman" w:cs="Times New Roman"/>
          <w:sz w:val="24"/>
          <w:szCs w:val="24"/>
        </w:rPr>
        <w:t xml:space="preserve"> </w:t>
      </w:r>
      <w:r w:rsidRPr="00DF7EA2">
        <w:rPr>
          <w:rFonts w:ascii="Times New Roman" w:hAnsi="Times New Roman" w:cs="Times New Roman"/>
          <w:sz w:val="24"/>
          <w:szCs w:val="24"/>
        </w:rPr>
        <w:t xml:space="preserve">reasonably </w:t>
      </w:r>
      <w:r w:rsidR="00CF6B76">
        <w:rPr>
          <w:rFonts w:ascii="Times New Roman" w:hAnsi="Times New Roman" w:cs="Times New Roman"/>
          <w:sz w:val="24"/>
          <w:szCs w:val="24"/>
        </w:rPr>
        <w:t>compare</w:t>
      </w:r>
      <w:r w:rsidR="00CF6B76" w:rsidRPr="00DF7EA2">
        <w:rPr>
          <w:rFonts w:ascii="Times New Roman" w:hAnsi="Times New Roman" w:cs="Times New Roman"/>
          <w:sz w:val="24"/>
          <w:szCs w:val="24"/>
        </w:rPr>
        <w:t xml:space="preserve"> </w:t>
      </w:r>
      <w:r w:rsidRPr="00DF7EA2">
        <w:rPr>
          <w:rFonts w:ascii="Times New Roman" w:hAnsi="Times New Roman" w:cs="Times New Roman"/>
          <w:sz w:val="24"/>
          <w:szCs w:val="24"/>
        </w:rPr>
        <w:t>the performanc</w:t>
      </w:r>
      <w:r>
        <w:rPr>
          <w:rFonts w:ascii="Times New Roman" w:hAnsi="Times New Roman" w:cs="Times New Roman"/>
          <w:sz w:val="24"/>
          <w:szCs w:val="24"/>
        </w:rPr>
        <w:t xml:space="preserve">e of Boards of </w:t>
      </w:r>
      <w:r w:rsidR="00E848CC">
        <w:rPr>
          <w:rFonts w:ascii="Times New Roman" w:hAnsi="Times New Roman" w:cs="Times New Roman"/>
          <w:sz w:val="24"/>
          <w:szCs w:val="24"/>
        </w:rPr>
        <w:t xml:space="preserve">varied </w:t>
      </w:r>
      <w:r w:rsidR="00737478">
        <w:rPr>
          <w:rFonts w:ascii="Times New Roman" w:hAnsi="Times New Roman" w:cs="Times New Roman"/>
          <w:sz w:val="24"/>
          <w:szCs w:val="24"/>
        </w:rPr>
        <w:t>sizes.</w:t>
      </w:r>
    </w:p>
    <w:p w14:paraId="13C039B5" w14:textId="77777777" w:rsidR="00DF7EA2" w:rsidRPr="00DF7EA2" w:rsidRDefault="00DF7EA2" w:rsidP="00DF7EA2">
      <w:pPr>
        <w:spacing w:after="0" w:line="240" w:lineRule="auto"/>
        <w:rPr>
          <w:rFonts w:ascii="Times New Roman" w:hAnsi="Times New Roman" w:cs="Times New Roman"/>
          <w:sz w:val="24"/>
          <w:szCs w:val="24"/>
        </w:rPr>
      </w:pPr>
    </w:p>
    <w:p w14:paraId="50729CC2" w14:textId="6AB2DDD8" w:rsidR="00DF7EA2" w:rsidRPr="00DF7EA2" w:rsidRDefault="00DF7EA2" w:rsidP="00DF7EA2">
      <w:pPr>
        <w:spacing w:after="0" w:line="240" w:lineRule="auto"/>
        <w:rPr>
          <w:rFonts w:ascii="Times New Roman" w:hAnsi="Times New Roman" w:cs="Times New Roman"/>
          <w:sz w:val="24"/>
          <w:szCs w:val="24"/>
        </w:rPr>
      </w:pPr>
      <w:r w:rsidRPr="00DF7EA2">
        <w:rPr>
          <w:rFonts w:ascii="Times New Roman" w:hAnsi="Times New Roman" w:cs="Times New Roman"/>
          <w:sz w:val="24"/>
          <w:szCs w:val="24"/>
        </w:rPr>
        <w:t xml:space="preserve">TWC presents the </w:t>
      </w:r>
      <w:r w:rsidR="003F4047">
        <w:rPr>
          <w:rFonts w:ascii="Times New Roman" w:hAnsi="Times New Roman" w:cs="Times New Roman"/>
          <w:sz w:val="24"/>
          <w:szCs w:val="24"/>
        </w:rPr>
        <w:t>Workforce Awards</w:t>
      </w:r>
      <w:r w:rsidRPr="00DF7EA2">
        <w:rPr>
          <w:rFonts w:ascii="Times New Roman" w:hAnsi="Times New Roman" w:cs="Times New Roman"/>
          <w:sz w:val="24"/>
          <w:szCs w:val="24"/>
        </w:rPr>
        <w:t xml:space="preserve"> </w:t>
      </w:r>
      <w:r w:rsidR="00755AEF">
        <w:rPr>
          <w:rFonts w:ascii="Times New Roman" w:hAnsi="Times New Roman" w:cs="Times New Roman"/>
          <w:sz w:val="24"/>
          <w:szCs w:val="24"/>
        </w:rPr>
        <w:t>annually at the Texas</w:t>
      </w:r>
      <w:r w:rsidRPr="00DF7EA2">
        <w:rPr>
          <w:rFonts w:ascii="Times New Roman" w:hAnsi="Times New Roman" w:cs="Times New Roman"/>
          <w:sz w:val="24"/>
          <w:szCs w:val="24"/>
        </w:rPr>
        <w:t xml:space="preserve"> Workforce Conference</w:t>
      </w:r>
      <w:r w:rsidR="00EF6792" w:rsidRPr="00DF7EA2">
        <w:rPr>
          <w:rFonts w:ascii="Times New Roman" w:hAnsi="Times New Roman" w:cs="Times New Roman"/>
          <w:sz w:val="24"/>
          <w:szCs w:val="24"/>
        </w:rPr>
        <w:t xml:space="preserve">. </w:t>
      </w:r>
      <w:r w:rsidR="00E848CC">
        <w:rPr>
          <w:rFonts w:ascii="Times New Roman" w:hAnsi="Times New Roman" w:cs="Times New Roman"/>
          <w:sz w:val="24"/>
          <w:szCs w:val="24"/>
        </w:rPr>
        <w:t>On March 14, 2017, the Commission approved the following awards for TWC to present at the 2017 and 2018 conferences:</w:t>
      </w:r>
    </w:p>
    <w:p w14:paraId="60B7683D" w14:textId="77777777" w:rsidR="00DF7EA2" w:rsidRPr="00DF7EA2" w:rsidRDefault="00DF7EA2" w:rsidP="004628C3">
      <w:pPr>
        <w:pStyle w:val="ListParagraph"/>
        <w:numPr>
          <w:ilvl w:val="0"/>
          <w:numId w:val="25"/>
        </w:numPr>
        <w:spacing w:after="0" w:line="240" w:lineRule="auto"/>
        <w:ind w:left="360"/>
        <w:rPr>
          <w:rFonts w:ascii="Times New Roman" w:hAnsi="Times New Roman" w:cs="Times New Roman"/>
          <w:sz w:val="24"/>
          <w:szCs w:val="24"/>
        </w:rPr>
      </w:pPr>
      <w:r w:rsidRPr="00DF7EA2">
        <w:rPr>
          <w:rFonts w:ascii="Times New Roman" w:hAnsi="Times New Roman" w:cs="Times New Roman"/>
          <w:sz w:val="24"/>
          <w:szCs w:val="24"/>
        </w:rPr>
        <w:t>Employer Awards (based on Board nominations)</w:t>
      </w:r>
    </w:p>
    <w:p w14:paraId="7726D44F" w14:textId="7B6F066C"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Large Employer of the Year</w:t>
      </w:r>
    </w:p>
    <w:p w14:paraId="27ABC6F9" w14:textId="39F1CB5B"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Small Employer of the Year</w:t>
      </w:r>
    </w:p>
    <w:p w14:paraId="03FD0412" w14:textId="323D45A3"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Local Employer of Excellence</w:t>
      </w:r>
    </w:p>
    <w:p w14:paraId="1C91D034" w14:textId="35CA88BF"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Veteran-Friendly Employer of the Year</w:t>
      </w:r>
    </w:p>
    <w:p w14:paraId="41417E56" w14:textId="77777777" w:rsidR="00DF7EA2" w:rsidRPr="00DF7EA2" w:rsidRDefault="00DF7EA2" w:rsidP="004628C3">
      <w:pPr>
        <w:pStyle w:val="ListParagraph"/>
        <w:numPr>
          <w:ilvl w:val="0"/>
          <w:numId w:val="25"/>
        </w:numPr>
        <w:spacing w:after="0" w:line="240" w:lineRule="auto"/>
        <w:ind w:left="360"/>
        <w:rPr>
          <w:rFonts w:ascii="Times New Roman" w:hAnsi="Times New Roman" w:cs="Times New Roman"/>
          <w:sz w:val="24"/>
          <w:szCs w:val="24"/>
        </w:rPr>
      </w:pPr>
      <w:r w:rsidRPr="00DF7EA2">
        <w:rPr>
          <w:rFonts w:ascii="Times New Roman" w:hAnsi="Times New Roman" w:cs="Times New Roman"/>
          <w:sz w:val="24"/>
          <w:szCs w:val="24"/>
        </w:rPr>
        <w:t>Board Awards (based on Board nominations)</w:t>
      </w:r>
    </w:p>
    <w:p w14:paraId="0898931F" w14:textId="77777777"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Service to Business</w:t>
      </w:r>
    </w:p>
    <w:p w14:paraId="6050B2A0" w14:textId="77777777"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Service to Workers</w:t>
      </w:r>
    </w:p>
    <w:p w14:paraId="12E17DF8" w14:textId="77777777"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Service to Community</w:t>
      </w:r>
    </w:p>
    <w:p w14:paraId="6FAA3E66" w14:textId="77777777"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Industry Sector Outreach</w:t>
      </w:r>
    </w:p>
    <w:p w14:paraId="7128CECE" w14:textId="77777777"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Youth Inspiration &amp; Career Awareness Award</w:t>
      </w:r>
      <w:r w:rsidRPr="00216840">
        <w:rPr>
          <w:rFonts w:ascii="Times New Roman" w:hAnsi="Times New Roman" w:cs="Times New Roman"/>
          <w:sz w:val="24"/>
          <w:szCs w:val="24"/>
        </w:rPr>
        <w:t>s</w:t>
      </w:r>
    </w:p>
    <w:p w14:paraId="4592A980" w14:textId="77777777"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Sector Partnership &amp; Career Pathways Award</w:t>
      </w:r>
    </w:p>
    <w:p w14:paraId="267D664C" w14:textId="77777777"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Texas HireAbility Award</w:t>
      </w:r>
    </w:p>
    <w:p w14:paraId="33CA406F" w14:textId="20379D78"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Texas Rising Star Child Care Award</w:t>
      </w:r>
    </w:p>
    <w:p w14:paraId="7116BF75" w14:textId="77777777" w:rsidR="00DF7EA2" w:rsidRPr="00DF7EA2" w:rsidRDefault="00DF7EA2" w:rsidP="004628C3">
      <w:pPr>
        <w:pStyle w:val="ListParagraph"/>
        <w:numPr>
          <w:ilvl w:val="0"/>
          <w:numId w:val="25"/>
        </w:numPr>
        <w:spacing w:after="0" w:line="240" w:lineRule="auto"/>
        <w:ind w:left="360"/>
        <w:rPr>
          <w:rFonts w:ascii="Times New Roman" w:hAnsi="Times New Roman" w:cs="Times New Roman"/>
          <w:sz w:val="24"/>
          <w:szCs w:val="24"/>
        </w:rPr>
      </w:pPr>
      <w:r w:rsidRPr="00DF7EA2">
        <w:rPr>
          <w:rFonts w:ascii="Times New Roman" w:hAnsi="Times New Roman" w:cs="Times New Roman"/>
          <w:sz w:val="24"/>
          <w:szCs w:val="24"/>
        </w:rPr>
        <w:t>Board Performance Incentive Awards (based on Board performance)</w:t>
      </w:r>
    </w:p>
    <w:p w14:paraId="10BBE33E" w14:textId="77777777"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Claimant Reemployment</w:t>
      </w:r>
    </w:p>
    <w:p w14:paraId="13097F31" w14:textId="77777777"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315885">
        <w:rPr>
          <w:rFonts w:ascii="Times New Roman" w:hAnsi="Times New Roman" w:cs="Times New Roman"/>
          <w:sz w:val="24"/>
          <w:szCs w:val="24"/>
        </w:rPr>
        <w:t>WIOA</w:t>
      </w:r>
      <w:r w:rsidRPr="00DF7EA2">
        <w:rPr>
          <w:rFonts w:ascii="Times New Roman" w:hAnsi="Times New Roman" w:cs="Times New Roman"/>
          <w:sz w:val="24"/>
          <w:szCs w:val="24"/>
        </w:rPr>
        <w:t xml:space="preserve"> Adult/Dislocated Worker Training-Related Employment</w:t>
      </w:r>
    </w:p>
    <w:p w14:paraId="6E614115" w14:textId="77777777"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Foster Youth</w:t>
      </w:r>
    </w:p>
    <w:p w14:paraId="240AAB02" w14:textId="77777777"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Choices Employment</w:t>
      </w:r>
    </w:p>
    <w:p w14:paraId="484F2040" w14:textId="77777777"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315885">
        <w:rPr>
          <w:rFonts w:ascii="Times New Roman" w:hAnsi="Times New Roman" w:cs="Times New Roman"/>
          <w:sz w:val="24"/>
          <w:szCs w:val="24"/>
        </w:rPr>
        <w:t>WIOA</w:t>
      </w:r>
      <w:r w:rsidRPr="00DF7EA2">
        <w:rPr>
          <w:rFonts w:ascii="Times New Roman" w:hAnsi="Times New Roman" w:cs="Times New Roman"/>
          <w:sz w:val="24"/>
          <w:szCs w:val="24"/>
        </w:rPr>
        <w:t xml:space="preserve"> Exemplary Performance Recognition</w:t>
      </w:r>
    </w:p>
    <w:p w14:paraId="59A33B2C" w14:textId="2BA49B0B" w:rsidR="00DF7EA2" w:rsidRPr="00DF7EA2" w:rsidRDefault="00DF7EA2" w:rsidP="004628C3">
      <w:pPr>
        <w:pStyle w:val="ListParagraph"/>
        <w:numPr>
          <w:ilvl w:val="0"/>
          <w:numId w:val="25"/>
        </w:numPr>
        <w:spacing w:after="0" w:line="240" w:lineRule="auto"/>
        <w:ind w:left="360"/>
        <w:rPr>
          <w:rFonts w:ascii="Times New Roman" w:hAnsi="Times New Roman" w:cs="Times New Roman"/>
          <w:sz w:val="24"/>
          <w:szCs w:val="24"/>
        </w:rPr>
      </w:pPr>
      <w:r w:rsidRPr="00DF7EA2">
        <w:rPr>
          <w:rFonts w:ascii="Times New Roman" w:hAnsi="Times New Roman" w:cs="Times New Roman"/>
          <w:sz w:val="24"/>
          <w:szCs w:val="24"/>
        </w:rPr>
        <w:t>Partnership Awards</w:t>
      </w:r>
    </w:p>
    <w:p w14:paraId="6621DA74" w14:textId="12EA0637"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Community College Engagement Award</w:t>
      </w:r>
      <w:r>
        <w:rPr>
          <w:rFonts w:ascii="Times New Roman" w:hAnsi="Times New Roman" w:cs="Times New Roman"/>
          <w:sz w:val="24"/>
          <w:szCs w:val="24"/>
        </w:rPr>
        <w:t xml:space="preserve"> </w:t>
      </w:r>
      <w:r w:rsidR="0045766D">
        <w:rPr>
          <w:rFonts w:ascii="Times New Roman" w:hAnsi="Times New Roman" w:cs="Times New Roman"/>
          <w:sz w:val="24"/>
          <w:szCs w:val="24"/>
        </w:rPr>
        <w:t>(based on TWC staff nomination</w:t>
      </w:r>
      <w:r w:rsidR="00100015">
        <w:rPr>
          <w:rFonts w:ascii="Times New Roman" w:hAnsi="Times New Roman" w:cs="Times New Roman"/>
          <w:sz w:val="24"/>
          <w:szCs w:val="24"/>
        </w:rPr>
        <w:t>s</w:t>
      </w:r>
      <w:r w:rsidR="0045766D">
        <w:rPr>
          <w:rFonts w:ascii="Times New Roman" w:hAnsi="Times New Roman" w:cs="Times New Roman"/>
          <w:sz w:val="24"/>
          <w:szCs w:val="24"/>
        </w:rPr>
        <w:t>)</w:t>
      </w:r>
    </w:p>
    <w:p w14:paraId="3BC67B51" w14:textId="2E0BCF6E"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Board/AEL/VR Collaboration Award</w:t>
      </w:r>
      <w:r>
        <w:rPr>
          <w:rFonts w:ascii="Times New Roman" w:hAnsi="Times New Roman" w:cs="Times New Roman"/>
          <w:sz w:val="24"/>
          <w:szCs w:val="24"/>
        </w:rPr>
        <w:t xml:space="preserve"> (based on Board nominations)</w:t>
      </w:r>
    </w:p>
    <w:p w14:paraId="660DD67C" w14:textId="46A7B7A2" w:rsidR="00DF7EA2" w:rsidRPr="00DF7EA2" w:rsidRDefault="00DF7EA2" w:rsidP="004628C3">
      <w:pPr>
        <w:pStyle w:val="ListParagraph"/>
        <w:numPr>
          <w:ilvl w:val="0"/>
          <w:numId w:val="25"/>
        </w:numPr>
        <w:spacing w:after="0" w:line="240" w:lineRule="auto"/>
        <w:ind w:left="360"/>
        <w:rPr>
          <w:rFonts w:ascii="Times New Roman" w:hAnsi="Times New Roman" w:cs="Times New Roman"/>
          <w:sz w:val="24"/>
          <w:szCs w:val="24"/>
        </w:rPr>
      </w:pPr>
      <w:r w:rsidRPr="00DF7EA2">
        <w:rPr>
          <w:rFonts w:ascii="Times New Roman" w:hAnsi="Times New Roman" w:cs="Times New Roman"/>
          <w:sz w:val="24"/>
          <w:szCs w:val="24"/>
        </w:rPr>
        <w:t>Adult Education and Literacy Performance Quality Improvement</w:t>
      </w:r>
      <w:r w:rsidR="001A3429">
        <w:rPr>
          <w:rFonts w:ascii="Times New Roman" w:hAnsi="Times New Roman" w:cs="Times New Roman"/>
          <w:sz w:val="24"/>
          <w:szCs w:val="24"/>
        </w:rPr>
        <w:t xml:space="preserve"> (AEL PQI)</w:t>
      </w:r>
      <w:r w:rsidRPr="00DF7EA2">
        <w:rPr>
          <w:rFonts w:ascii="Times New Roman" w:hAnsi="Times New Roman" w:cs="Times New Roman"/>
          <w:sz w:val="24"/>
          <w:szCs w:val="24"/>
        </w:rPr>
        <w:t xml:space="preserve"> Awards</w:t>
      </w:r>
    </w:p>
    <w:p w14:paraId="731A1957" w14:textId="77777777" w:rsidR="00C52273" w:rsidRPr="00DF7EA2" w:rsidRDefault="00C52273" w:rsidP="00C5227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Employer Partnership</w:t>
      </w:r>
      <w:r>
        <w:rPr>
          <w:rFonts w:ascii="Times New Roman" w:hAnsi="Times New Roman" w:cs="Times New Roman"/>
          <w:sz w:val="24"/>
          <w:szCs w:val="24"/>
        </w:rPr>
        <w:t xml:space="preserve"> (based on AEL grantee nominations)</w:t>
      </w:r>
    </w:p>
    <w:p w14:paraId="3BEA3D98" w14:textId="594218AA" w:rsidR="00DF7EA2" w:rsidRPr="00DF7EA2"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College Integration</w:t>
      </w:r>
      <w:r>
        <w:rPr>
          <w:rFonts w:ascii="Times New Roman" w:hAnsi="Times New Roman" w:cs="Times New Roman"/>
          <w:sz w:val="24"/>
          <w:szCs w:val="24"/>
        </w:rPr>
        <w:t xml:space="preserve"> (based on AEL grantee nominations)</w:t>
      </w:r>
    </w:p>
    <w:p w14:paraId="3F889FB9" w14:textId="49903238" w:rsidR="00F81527" w:rsidRDefault="00DF7EA2" w:rsidP="004628C3">
      <w:pPr>
        <w:pStyle w:val="ListParagraph"/>
        <w:numPr>
          <w:ilvl w:val="0"/>
          <w:numId w:val="26"/>
        </w:numPr>
        <w:spacing w:after="0" w:line="240" w:lineRule="auto"/>
        <w:ind w:left="720"/>
        <w:rPr>
          <w:rFonts w:ascii="Times New Roman" w:hAnsi="Times New Roman" w:cs="Times New Roman"/>
          <w:sz w:val="24"/>
          <w:szCs w:val="24"/>
        </w:rPr>
      </w:pPr>
      <w:r w:rsidRPr="00DF7EA2">
        <w:rPr>
          <w:rFonts w:ascii="Times New Roman" w:hAnsi="Times New Roman" w:cs="Times New Roman"/>
          <w:sz w:val="24"/>
          <w:szCs w:val="24"/>
        </w:rPr>
        <w:t>High School Equivalency Achievement</w:t>
      </w:r>
      <w:r>
        <w:rPr>
          <w:rFonts w:ascii="Times New Roman" w:hAnsi="Times New Roman" w:cs="Times New Roman"/>
          <w:sz w:val="24"/>
          <w:szCs w:val="24"/>
        </w:rPr>
        <w:t xml:space="preserve"> (based on AEL grantee performance)</w:t>
      </w:r>
    </w:p>
    <w:p w14:paraId="3BE36E2D" w14:textId="0D5F3F84" w:rsidR="00C2160B" w:rsidRPr="002C0086" w:rsidRDefault="00397FD6" w:rsidP="00397FD6">
      <w:pPr>
        <w:tabs>
          <w:tab w:val="left" w:pos="310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C422CFD" w14:textId="6405E154" w:rsidR="00BE5CC2" w:rsidRPr="0092407E" w:rsidRDefault="00BE5CC2" w:rsidP="001F23FD">
      <w:pPr>
        <w:tabs>
          <w:tab w:val="left" w:pos="1410"/>
        </w:tabs>
        <w:spacing w:after="0"/>
        <w:rPr>
          <w:rFonts w:ascii="Times New Roman" w:hAnsi="Times New Roman" w:cs="Times New Roman"/>
          <w:sz w:val="24"/>
          <w:szCs w:val="24"/>
        </w:rPr>
      </w:pPr>
      <w:r w:rsidRPr="0092407E">
        <w:rPr>
          <w:rFonts w:ascii="Times New Roman" w:hAnsi="Times New Roman" w:cs="Times New Roman"/>
          <w:b/>
          <w:sz w:val="24"/>
          <w:szCs w:val="24"/>
        </w:rPr>
        <w:lastRenderedPageBreak/>
        <w:t>Issue</w:t>
      </w:r>
      <w:r w:rsidR="006C4A9B">
        <w:rPr>
          <w:rFonts w:ascii="Times New Roman" w:hAnsi="Times New Roman" w:cs="Times New Roman"/>
          <w:b/>
          <w:sz w:val="24"/>
          <w:szCs w:val="24"/>
        </w:rPr>
        <w:t xml:space="preserve"> 1</w:t>
      </w:r>
      <w:r w:rsidR="00DF7EA2">
        <w:rPr>
          <w:rFonts w:ascii="Times New Roman" w:hAnsi="Times New Roman" w:cs="Times New Roman"/>
          <w:b/>
          <w:sz w:val="24"/>
          <w:szCs w:val="24"/>
        </w:rPr>
        <w:t>: Workforce Awards</w:t>
      </w:r>
    </w:p>
    <w:p w14:paraId="292D8B17" w14:textId="1C804BF8" w:rsidR="00F81527" w:rsidRDefault="00F81527" w:rsidP="00F81527">
      <w:pPr>
        <w:spacing w:after="0"/>
        <w:rPr>
          <w:rFonts w:ascii="Times New Roman" w:hAnsi="Times New Roman" w:cs="Times New Roman"/>
          <w:sz w:val="24"/>
          <w:szCs w:val="24"/>
        </w:rPr>
      </w:pPr>
      <w:bookmarkStart w:id="2" w:name="_Hlk519167842"/>
      <w:r w:rsidRPr="00DF7EA2">
        <w:rPr>
          <w:rFonts w:ascii="Times New Roman" w:hAnsi="Times New Roman" w:cs="Times New Roman"/>
          <w:sz w:val="24"/>
          <w:szCs w:val="24"/>
        </w:rPr>
        <w:t xml:space="preserve">Staff </w:t>
      </w:r>
      <w:r>
        <w:rPr>
          <w:rFonts w:ascii="Times New Roman" w:hAnsi="Times New Roman" w:cs="Times New Roman"/>
          <w:sz w:val="24"/>
          <w:szCs w:val="24"/>
        </w:rPr>
        <w:t xml:space="preserve">has </w:t>
      </w:r>
      <w:r w:rsidRPr="00DF7EA2">
        <w:rPr>
          <w:rFonts w:ascii="Times New Roman" w:hAnsi="Times New Roman" w:cs="Times New Roman"/>
          <w:sz w:val="24"/>
          <w:szCs w:val="24"/>
        </w:rPr>
        <w:t xml:space="preserve">reviewed all </w:t>
      </w:r>
      <w:r>
        <w:rPr>
          <w:rFonts w:ascii="Times New Roman" w:hAnsi="Times New Roman" w:cs="Times New Roman"/>
          <w:sz w:val="24"/>
          <w:szCs w:val="24"/>
        </w:rPr>
        <w:t xml:space="preserve">current Workforce Awards </w:t>
      </w:r>
      <w:r w:rsidRPr="00DF7EA2">
        <w:rPr>
          <w:rFonts w:ascii="Times New Roman" w:hAnsi="Times New Roman" w:cs="Times New Roman"/>
          <w:sz w:val="24"/>
          <w:szCs w:val="24"/>
        </w:rPr>
        <w:t xml:space="preserve">and </w:t>
      </w:r>
      <w:r>
        <w:rPr>
          <w:rFonts w:ascii="Times New Roman" w:hAnsi="Times New Roman" w:cs="Times New Roman"/>
          <w:sz w:val="24"/>
          <w:szCs w:val="24"/>
        </w:rPr>
        <w:t xml:space="preserve">monetary </w:t>
      </w:r>
      <w:r w:rsidRPr="00DF7EA2">
        <w:rPr>
          <w:rFonts w:ascii="Times New Roman" w:hAnsi="Times New Roman" w:cs="Times New Roman"/>
          <w:sz w:val="24"/>
          <w:szCs w:val="24"/>
        </w:rPr>
        <w:t xml:space="preserve">amounts to determine whether changes </w:t>
      </w:r>
      <w:r w:rsidR="00CF6B76">
        <w:rPr>
          <w:rFonts w:ascii="Times New Roman" w:hAnsi="Times New Roman" w:cs="Times New Roman"/>
          <w:sz w:val="24"/>
          <w:szCs w:val="24"/>
        </w:rPr>
        <w:t>may be</w:t>
      </w:r>
      <w:r w:rsidR="00CF6B76" w:rsidRPr="00DF7EA2">
        <w:rPr>
          <w:rFonts w:ascii="Times New Roman" w:hAnsi="Times New Roman" w:cs="Times New Roman"/>
          <w:sz w:val="24"/>
          <w:szCs w:val="24"/>
        </w:rPr>
        <w:t xml:space="preserve"> </w:t>
      </w:r>
      <w:r w:rsidRPr="00DF7EA2">
        <w:rPr>
          <w:rFonts w:ascii="Times New Roman" w:hAnsi="Times New Roman" w:cs="Times New Roman"/>
          <w:sz w:val="24"/>
          <w:szCs w:val="24"/>
        </w:rPr>
        <w:t xml:space="preserve">warranted. Staff </w:t>
      </w:r>
      <w:r w:rsidR="00CF6B76">
        <w:rPr>
          <w:rFonts w:ascii="Times New Roman" w:hAnsi="Times New Roman" w:cs="Times New Roman"/>
          <w:sz w:val="24"/>
          <w:szCs w:val="24"/>
        </w:rPr>
        <w:t xml:space="preserve">has </w:t>
      </w:r>
      <w:r w:rsidRPr="00DF7EA2">
        <w:rPr>
          <w:rFonts w:ascii="Times New Roman" w:hAnsi="Times New Roman" w:cs="Times New Roman"/>
          <w:sz w:val="24"/>
          <w:szCs w:val="24"/>
        </w:rPr>
        <w:t xml:space="preserve">identified several </w:t>
      </w:r>
      <w:r>
        <w:rPr>
          <w:rFonts w:ascii="Times New Roman" w:hAnsi="Times New Roman" w:cs="Times New Roman"/>
          <w:sz w:val="24"/>
          <w:szCs w:val="24"/>
        </w:rPr>
        <w:t xml:space="preserve">potential </w:t>
      </w:r>
      <w:r w:rsidRPr="00DF7EA2">
        <w:rPr>
          <w:rFonts w:ascii="Times New Roman" w:hAnsi="Times New Roman" w:cs="Times New Roman"/>
          <w:sz w:val="24"/>
          <w:szCs w:val="24"/>
        </w:rPr>
        <w:t xml:space="preserve">changes </w:t>
      </w:r>
      <w:r w:rsidR="00CF6B76">
        <w:rPr>
          <w:rFonts w:ascii="Times New Roman" w:hAnsi="Times New Roman" w:cs="Times New Roman"/>
          <w:sz w:val="24"/>
          <w:szCs w:val="24"/>
        </w:rPr>
        <w:t>that would</w:t>
      </w:r>
      <w:r w:rsidR="00CF6B76" w:rsidRPr="00DF7EA2">
        <w:rPr>
          <w:rFonts w:ascii="Times New Roman" w:hAnsi="Times New Roman" w:cs="Times New Roman"/>
          <w:sz w:val="24"/>
          <w:szCs w:val="24"/>
        </w:rPr>
        <w:t xml:space="preserve"> </w:t>
      </w:r>
      <w:r w:rsidRPr="00DF7EA2">
        <w:rPr>
          <w:rFonts w:ascii="Times New Roman" w:hAnsi="Times New Roman" w:cs="Times New Roman"/>
          <w:sz w:val="24"/>
          <w:szCs w:val="24"/>
        </w:rPr>
        <w:t>better reflect</w:t>
      </w:r>
      <w:r>
        <w:rPr>
          <w:rFonts w:ascii="Times New Roman" w:hAnsi="Times New Roman" w:cs="Times New Roman"/>
          <w:sz w:val="24"/>
          <w:szCs w:val="24"/>
        </w:rPr>
        <w:t xml:space="preserve"> the purpose of the Workforce Innovation and Opportunity Act (WIOA); align </w:t>
      </w:r>
      <w:r w:rsidR="00CF6B76">
        <w:rPr>
          <w:rFonts w:ascii="Times New Roman" w:hAnsi="Times New Roman" w:cs="Times New Roman"/>
          <w:sz w:val="24"/>
          <w:szCs w:val="24"/>
        </w:rPr>
        <w:t xml:space="preserve">the awards </w:t>
      </w:r>
      <w:r>
        <w:rPr>
          <w:rFonts w:ascii="Times New Roman" w:hAnsi="Times New Roman" w:cs="Times New Roman"/>
          <w:sz w:val="24"/>
          <w:szCs w:val="24"/>
        </w:rPr>
        <w:t>with</w:t>
      </w:r>
      <w:r w:rsidRPr="00DF7EA2">
        <w:rPr>
          <w:rFonts w:ascii="Times New Roman" w:hAnsi="Times New Roman" w:cs="Times New Roman"/>
          <w:sz w:val="24"/>
          <w:szCs w:val="24"/>
        </w:rPr>
        <w:t xml:space="preserve"> TWC’s mission</w:t>
      </w:r>
      <w:r>
        <w:rPr>
          <w:rFonts w:ascii="Times New Roman" w:hAnsi="Times New Roman" w:cs="Times New Roman"/>
          <w:sz w:val="24"/>
          <w:szCs w:val="24"/>
        </w:rPr>
        <w:t xml:space="preserve"> to promote and support a workforce system that offers employers, individuals, and communities the opportunity to achieve economic prosperity</w:t>
      </w:r>
      <w:r w:rsidRPr="00DF7EA2">
        <w:rPr>
          <w:rFonts w:ascii="Times New Roman" w:hAnsi="Times New Roman" w:cs="Times New Roman"/>
          <w:sz w:val="24"/>
          <w:szCs w:val="24"/>
        </w:rPr>
        <w:t>;</w:t>
      </w:r>
      <w:r>
        <w:rPr>
          <w:rFonts w:ascii="Times New Roman" w:hAnsi="Times New Roman" w:cs="Times New Roman"/>
          <w:sz w:val="24"/>
          <w:szCs w:val="24"/>
        </w:rPr>
        <w:t xml:space="preserve"> </w:t>
      </w:r>
      <w:r w:rsidR="00EF052E">
        <w:rPr>
          <w:rFonts w:ascii="Times New Roman" w:hAnsi="Times New Roman" w:cs="Times New Roman"/>
          <w:sz w:val="24"/>
          <w:szCs w:val="24"/>
        </w:rPr>
        <w:t>recognize</w:t>
      </w:r>
      <w:r w:rsidR="00EF052E" w:rsidRPr="00DF7EA2">
        <w:rPr>
          <w:rFonts w:ascii="Times New Roman" w:hAnsi="Times New Roman" w:cs="Times New Roman"/>
          <w:sz w:val="24"/>
          <w:szCs w:val="24"/>
        </w:rPr>
        <w:t xml:space="preserve"> </w:t>
      </w:r>
      <w:r w:rsidR="003B1243">
        <w:rPr>
          <w:rFonts w:ascii="Times New Roman" w:hAnsi="Times New Roman" w:cs="Times New Roman"/>
          <w:sz w:val="24"/>
          <w:szCs w:val="24"/>
        </w:rPr>
        <w:t>w</w:t>
      </w:r>
      <w:r w:rsidR="003B1243" w:rsidRPr="00DF7EA2">
        <w:rPr>
          <w:rFonts w:ascii="Times New Roman" w:hAnsi="Times New Roman" w:cs="Times New Roman"/>
          <w:sz w:val="24"/>
          <w:szCs w:val="24"/>
        </w:rPr>
        <w:t>orkforce</w:t>
      </w:r>
      <w:r w:rsidRPr="00DF7EA2">
        <w:rPr>
          <w:rFonts w:ascii="Times New Roman" w:hAnsi="Times New Roman" w:cs="Times New Roman"/>
          <w:sz w:val="24"/>
          <w:szCs w:val="24"/>
        </w:rPr>
        <w:t>, VR, and AEL</w:t>
      </w:r>
      <w:r>
        <w:rPr>
          <w:rFonts w:ascii="Times New Roman" w:hAnsi="Times New Roman" w:cs="Times New Roman"/>
          <w:sz w:val="24"/>
          <w:szCs w:val="24"/>
        </w:rPr>
        <w:t xml:space="preserve"> efforts and </w:t>
      </w:r>
      <w:r w:rsidR="00CF6B76">
        <w:rPr>
          <w:rFonts w:ascii="Times New Roman" w:hAnsi="Times New Roman" w:cs="Times New Roman"/>
          <w:sz w:val="24"/>
          <w:szCs w:val="24"/>
        </w:rPr>
        <w:t>partnerships</w:t>
      </w:r>
      <w:r w:rsidRPr="00DF7EA2">
        <w:rPr>
          <w:rFonts w:ascii="Times New Roman" w:hAnsi="Times New Roman" w:cs="Times New Roman"/>
          <w:sz w:val="24"/>
          <w:szCs w:val="24"/>
        </w:rPr>
        <w:t xml:space="preserve">; and emphasize </w:t>
      </w:r>
      <w:r w:rsidR="006B0417">
        <w:rPr>
          <w:rFonts w:ascii="Times New Roman" w:hAnsi="Times New Roman" w:cs="Times New Roman"/>
          <w:sz w:val="24"/>
          <w:szCs w:val="24"/>
        </w:rPr>
        <w:t>successful efforts</w:t>
      </w:r>
      <w:r w:rsidRPr="00DF7EA2">
        <w:rPr>
          <w:rFonts w:ascii="Times New Roman" w:hAnsi="Times New Roman" w:cs="Times New Roman"/>
          <w:sz w:val="24"/>
          <w:szCs w:val="24"/>
        </w:rPr>
        <w:t xml:space="preserve"> </w:t>
      </w:r>
      <w:r>
        <w:rPr>
          <w:rFonts w:ascii="Times New Roman" w:hAnsi="Times New Roman" w:cs="Times New Roman"/>
          <w:sz w:val="24"/>
          <w:szCs w:val="24"/>
        </w:rPr>
        <w:t xml:space="preserve">at the local level </w:t>
      </w:r>
      <w:r w:rsidR="00A23997">
        <w:rPr>
          <w:rFonts w:ascii="Times New Roman" w:hAnsi="Times New Roman" w:cs="Times New Roman"/>
          <w:sz w:val="24"/>
          <w:szCs w:val="24"/>
        </w:rPr>
        <w:t xml:space="preserve">that are </w:t>
      </w:r>
      <w:r>
        <w:rPr>
          <w:rFonts w:ascii="Times New Roman" w:hAnsi="Times New Roman" w:cs="Times New Roman"/>
          <w:sz w:val="24"/>
          <w:szCs w:val="24"/>
        </w:rPr>
        <w:t>benefiting specific</w:t>
      </w:r>
      <w:r w:rsidRPr="00DF7EA2">
        <w:rPr>
          <w:rFonts w:ascii="Times New Roman" w:hAnsi="Times New Roman" w:cs="Times New Roman"/>
          <w:sz w:val="24"/>
          <w:szCs w:val="24"/>
        </w:rPr>
        <w:t xml:space="preserve"> core customer populations, </w:t>
      </w:r>
      <w:bookmarkStart w:id="3" w:name="_Hlk534879500"/>
      <w:r w:rsidR="00F10220">
        <w:rPr>
          <w:rFonts w:ascii="Times New Roman" w:hAnsi="Times New Roman" w:cs="Times New Roman"/>
          <w:sz w:val="24"/>
          <w:szCs w:val="24"/>
        </w:rPr>
        <w:t>such as</w:t>
      </w:r>
      <w:r w:rsidR="00F10220" w:rsidRPr="00DF7EA2">
        <w:rPr>
          <w:rFonts w:ascii="Times New Roman" w:hAnsi="Times New Roman" w:cs="Times New Roman"/>
          <w:sz w:val="24"/>
          <w:szCs w:val="24"/>
        </w:rPr>
        <w:t xml:space="preserve"> </w:t>
      </w:r>
      <w:r w:rsidRPr="00DF7EA2">
        <w:rPr>
          <w:rFonts w:ascii="Times New Roman" w:hAnsi="Times New Roman" w:cs="Times New Roman"/>
          <w:sz w:val="24"/>
          <w:szCs w:val="24"/>
        </w:rPr>
        <w:t xml:space="preserve">veterans, </w:t>
      </w:r>
      <w:r>
        <w:rPr>
          <w:rFonts w:ascii="Times New Roman" w:hAnsi="Times New Roman" w:cs="Times New Roman"/>
          <w:sz w:val="24"/>
          <w:szCs w:val="24"/>
        </w:rPr>
        <w:t>individuals with barriers to employment, at-risk populations</w:t>
      </w:r>
      <w:r w:rsidRPr="00DF7EA2">
        <w:rPr>
          <w:rFonts w:ascii="Times New Roman" w:hAnsi="Times New Roman" w:cs="Times New Roman"/>
          <w:sz w:val="24"/>
          <w:szCs w:val="24"/>
        </w:rPr>
        <w:t>, and</w:t>
      </w:r>
      <w:r>
        <w:rPr>
          <w:rFonts w:ascii="Times New Roman" w:hAnsi="Times New Roman" w:cs="Times New Roman"/>
          <w:sz w:val="24"/>
          <w:szCs w:val="24"/>
        </w:rPr>
        <w:t xml:space="preserve"> individuals with disabilities</w:t>
      </w:r>
      <w:bookmarkEnd w:id="3"/>
      <w:r>
        <w:rPr>
          <w:rFonts w:ascii="Times New Roman" w:hAnsi="Times New Roman" w:cs="Times New Roman"/>
          <w:sz w:val="24"/>
          <w:szCs w:val="24"/>
        </w:rPr>
        <w:t>.</w:t>
      </w:r>
    </w:p>
    <w:p w14:paraId="533DC816" w14:textId="77777777" w:rsidR="00F81527" w:rsidRPr="00CC7C14" w:rsidRDefault="00F81527" w:rsidP="00F81527">
      <w:pPr>
        <w:spacing w:after="0"/>
        <w:rPr>
          <w:rFonts w:ascii="Times New Roman" w:hAnsi="Times New Roman" w:cs="Times New Roman"/>
          <w:sz w:val="24"/>
          <w:szCs w:val="24"/>
        </w:rPr>
      </w:pPr>
    </w:p>
    <w:p w14:paraId="0431C435" w14:textId="07A5CF4E" w:rsidR="00F81527" w:rsidRDefault="00F81527" w:rsidP="00F81527">
      <w:pPr>
        <w:spacing w:after="0"/>
        <w:rPr>
          <w:rFonts w:ascii="Times New Roman" w:hAnsi="Times New Roman" w:cs="Times New Roman"/>
          <w:sz w:val="24"/>
          <w:szCs w:val="24"/>
        </w:rPr>
      </w:pPr>
      <w:r>
        <w:rPr>
          <w:rFonts w:ascii="Times New Roman" w:hAnsi="Times New Roman" w:cs="Times New Roman"/>
          <w:sz w:val="24"/>
          <w:szCs w:val="24"/>
        </w:rPr>
        <w:t xml:space="preserve">Upon reviewing the current </w:t>
      </w:r>
      <w:r w:rsidR="00EF052E">
        <w:rPr>
          <w:rFonts w:ascii="Times New Roman" w:hAnsi="Times New Roman" w:cs="Times New Roman"/>
          <w:sz w:val="24"/>
          <w:szCs w:val="24"/>
        </w:rPr>
        <w:t xml:space="preserve">Board </w:t>
      </w:r>
      <w:r>
        <w:rPr>
          <w:rFonts w:ascii="Times New Roman" w:hAnsi="Times New Roman" w:cs="Times New Roman"/>
          <w:sz w:val="24"/>
          <w:szCs w:val="24"/>
        </w:rPr>
        <w:t xml:space="preserve">Performance Incentive </w:t>
      </w:r>
      <w:r w:rsidR="006B0417">
        <w:rPr>
          <w:rFonts w:ascii="Times New Roman" w:hAnsi="Times New Roman" w:cs="Times New Roman"/>
          <w:sz w:val="24"/>
          <w:szCs w:val="24"/>
        </w:rPr>
        <w:t xml:space="preserve">Awards </w:t>
      </w:r>
      <w:r>
        <w:rPr>
          <w:rFonts w:ascii="Times New Roman" w:hAnsi="Times New Roman" w:cs="Times New Roman"/>
          <w:sz w:val="24"/>
          <w:szCs w:val="24"/>
        </w:rPr>
        <w:t xml:space="preserve">categories, staff identified </w:t>
      </w:r>
      <w:r w:rsidR="00A23997">
        <w:rPr>
          <w:rFonts w:ascii="Times New Roman" w:hAnsi="Times New Roman" w:cs="Times New Roman"/>
          <w:sz w:val="24"/>
          <w:szCs w:val="24"/>
        </w:rPr>
        <w:t xml:space="preserve">opportunities to modify the awards criteria </w:t>
      </w:r>
      <w:r>
        <w:rPr>
          <w:rFonts w:ascii="Times New Roman" w:hAnsi="Times New Roman" w:cs="Times New Roman"/>
          <w:sz w:val="24"/>
          <w:szCs w:val="24"/>
        </w:rPr>
        <w:t xml:space="preserve">to emphasize and incentivize </w:t>
      </w:r>
      <w:r w:rsidR="00192BBB">
        <w:rPr>
          <w:rFonts w:ascii="Times New Roman" w:hAnsi="Times New Roman" w:cs="Times New Roman"/>
          <w:sz w:val="24"/>
          <w:szCs w:val="24"/>
        </w:rPr>
        <w:t xml:space="preserve">participant </w:t>
      </w:r>
      <w:r>
        <w:rPr>
          <w:rFonts w:ascii="Times New Roman" w:hAnsi="Times New Roman" w:cs="Times New Roman"/>
          <w:sz w:val="24"/>
          <w:szCs w:val="24"/>
        </w:rPr>
        <w:t>outcomes in employment and training.</w:t>
      </w:r>
    </w:p>
    <w:p w14:paraId="3058D190" w14:textId="43AD86B8" w:rsidR="00F81527" w:rsidRDefault="00F81527" w:rsidP="00F81527">
      <w:pPr>
        <w:spacing w:after="0"/>
        <w:rPr>
          <w:rFonts w:ascii="Times New Roman" w:hAnsi="Times New Roman" w:cs="Times New Roman"/>
          <w:sz w:val="24"/>
          <w:szCs w:val="24"/>
        </w:rPr>
      </w:pPr>
    </w:p>
    <w:p w14:paraId="436F38E9" w14:textId="22788296" w:rsidR="001C0AEA" w:rsidRDefault="001C0AEA" w:rsidP="001C0AEA">
      <w:pPr>
        <w:pStyle w:val="ListParagraph"/>
        <w:numPr>
          <w:ilvl w:val="0"/>
          <w:numId w:val="25"/>
        </w:numPr>
        <w:spacing w:after="0"/>
        <w:ind w:left="360"/>
        <w:rPr>
          <w:rFonts w:ascii="Times New Roman" w:hAnsi="Times New Roman" w:cs="Times New Roman"/>
          <w:sz w:val="24"/>
          <w:szCs w:val="24"/>
        </w:rPr>
      </w:pPr>
      <w:bookmarkStart w:id="4" w:name="_Hlk532453043"/>
      <w:r w:rsidRPr="00F81527">
        <w:rPr>
          <w:rFonts w:ascii="Times New Roman" w:hAnsi="Times New Roman" w:cs="Times New Roman"/>
          <w:sz w:val="24"/>
          <w:szCs w:val="24"/>
        </w:rPr>
        <w:t xml:space="preserve">The WIOA Adult/Dislocated Worker </w:t>
      </w:r>
      <w:r>
        <w:rPr>
          <w:rFonts w:ascii="Times New Roman" w:hAnsi="Times New Roman" w:cs="Times New Roman"/>
          <w:sz w:val="24"/>
          <w:szCs w:val="24"/>
        </w:rPr>
        <w:t>Training-Related Employment A</w:t>
      </w:r>
      <w:r w:rsidRPr="00F81527">
        <w:rPr>
          <w:rFonts w:ascii="Times New Roman" w:hAnsi="Times New Roman" w:cs="Times New Roman"/>
          <w:sz w:val="24"/>
          <w:szCs w:val="24"/>
        </w:rPr>
        <w:t xml:space="preserve">ward </w:t>
      </w:r>
      <w:r>
        <w:rPr>
          <w:rFonts w:ascii="Times New Roman" w:hAnsi="Times New Roman" w:cs="Times New Roman"/>
          <w:sz w:val="24"/>
          <w:szCs w:val="24"/>
        </w:rPr>
        <w:t>focuses</w:t>
      </w:r>
      <w:r w:rsidRPr="00F81527">
        <w:rPr>
          <w:rFonts w:ascii="Times New Roman" w:hAnsi="Times New Roman" w:cs="Times New Roman"/>
          <w:sz w:val="24"/>
          <w:szCs w:val="24"/>
        </w:rPr>
        <w:t xml:space="preserve"> </w:t>
      </w:r>
      <w:r>
        <w:rPr>
          <w:rFonts w:ascii="Times New Roman" w:hAnsi="Times New Roman" w:cs="Times New Roman"/>
          <w:sz w:val="24"/>
          <w:szCs w:val="24"/>
        </w:rPr>
        <w:t xml:space="preserve">exclusively </w:t>
      </w:r>
      <w:r w:rsidRPr="00F81527">
        <w:rPr>
          <w:rFonts w:ascii="Times New Roman" w:hAnsi="Times New Roman" w:cs="Times New Roman"/>
          <w:sz w:val="24"/>
          <w:szCs w:val="24"/>
        </w:rPr>
        <w:t xml:space="preserve">on </w:t>
      </w:r>
      <w:r>
        <w:rPr>
          <w:rFonts w:ascii="Times New Roman" w:hAnsi="Times New Roman" w:cs="Times New Roman"/>
          <w:sz w:val="24"/>
          <w:szCs w:val="24"/>
        </w:rPr>
        <w:t>training-related employment,</w:t>
      </w:r>
      <w:r w:rsidRPr="00F81527">
        <w:rPr>
          <w:rFonts w:ascii="Times New Roman" w:hAnsi="Times New Roman" w:cs="Times New Roman"/>
          <w:sz w:val="24"/>
          <w:szCs w:val="24"/>
        </w:rPr>
        <w:t xml:space="preserve"> which remains an important goal</w:t>
      </w:r>
      <w:r>
        <w:rPr>
          <w:rFonts w:ascii="Times New Roman" w:hAnsi="Times New Roman" w:cs="Times New Roman"/>
          <w:sz w:val="24"/>
          <w:szCs w:val="24"/>
        </w:rPr>
        <w:t>; however,</w:t>
      </w:r>
      <w:r w:rsidRPr="00F81527">
        <w:rPr>
          <w:rFonts w:ascii="Times New Roman" w:hAnsi="Times New Roman" w:cs="Times New Roman"/>
          <w:sz w:val="24"/>
          <w:szCs w:val="24"/>
        </w:rPr>
        <w:t xml:space="preserve"> the number of WIOA Participants in Training has dropped from roughly 12,000 in BCY</w:t>
      </w:r>
      <w:r>
        <w:rPr>
          <w:rFonts w:ascii="Times New Roman" w:hAnsi="Times New Roman" w:cs="Times New Roman"/>
          <w:sz w:val="24"/>
          <w:szCs w:val="24"/>
        </w:rPr>
        <w:t>’</w:t>
      </w:r>
      <w:r w:rsidRPr="00F81527">
        <w:rPr>
          <w:rFonts w:ascii="Times New Roman" w:hAnsi="Times New Roman" w:cs="Times New Roman"/>
          <w:sz w:val="24"/>
          <w:szCs w:val="24"/>
        </w:rPr>
        <w:t xml:space="preserve">15 to </w:t>
      </w:r>
      <w:r>
        <w:rPr>
          <w:rFonts w:ascii="Times New Roman" w:hAnsi="Times New Roman" w:cs="Times New Roman"/>
          <w:sz w:val="24"/>
          <w:szCs w:val="24"/>
        </w:rPr>
        <w:t>about</w:t>
      </w:r>
      <w:r w:rsidRPr="00F81527">
        <w:rPr>
          <w:rFonts w:ascii="Times New Roman" w:hAnsi="Times New Roman" w:cs="Times New Roman"/>
          <w:sz w:val="24"/>
          <w:szCs w:val="24"/>
        </w:rPr>
        <w:t xml:space="preserve"> 9,000 in BCY</w:t>
      </w:r>
      <w:r>
        <w:rPr>
          <w:rFonts w:ascii="Times New Roman" w:hAnsi="Times New Roman" w:cs="Times New Roman"/>
          <w:sz w:val="24"/>
          <w:szCs w:val="24"/>
        </w:rPr>
        <w:t>’</w:t>
      </w:r>
      <w:r w:rsidRPr="00F81527">
        <w:rPr>
          <w:rFonts w:ascii="Times New Roman" w:hAnsi="Times New Roman" w:cs="Times New Roman"/>
          <w:sz w:val="24"/>
          <w:szCs w:val="24"/>
        </w:rPr>
        <w:t>18. Recent increases in adult and dislocated worker formula funds represent a unique opportunity to increase enrollment in training</w:t>
      </w:r>
      <w:r>
        <w:rPr>
          <w:rFonts w:ascii="Times New Roman" w:hAnsi="Times New Roman" w:cs="Times New Roman"/>
          <w:sz w:val="24"/>
          <w:szCs w:val="24"/>
        </w:rPr>
        <w:t xml:space="preserve"> programs</w:t>
      </w:r>
      <w:r w:rsidRPr="00F81527">
        <w:rPr>
          <w:rFonts w:ascii="Times New Roman" w:hAnsi="Times New Roman" w:cs="Times New Roman"/>
          <w:sz w:val="24"/>
          <w:szCs w:val="24"/>
        </w:rPr>
        <w:t xml:space="preserve">. </w:t>
      </w:r>
      <w:r>
        <w:rPr>
          <w:rFonts w:ascii="Times New Roman" w:hAnsi="Times New Roman" w:cs="Times New Roman"/>
          <w:sz w:val="24"/>
          <w:szCs w:val="24"/>
        </w:rPr>
        <w:t>Enhancing</w:t>
      </w:r>
      <w:r w:rsidRPr="00F81527">
        <w:rPr>
          <w:rFonts w:ascii="Times New Roman" w:hAnsi="Times New Roman" w:cs="Times New Roman"/>
          <w:sz w:val="24"/>
          <w:szCs w:val="24"/>
        </w:rPr>
        <w:t xml:space="preserve"> the WIOA Adult/D</w:t>
      </w:r>
      <w:r>
        <w:rPr>
          <w:rFonts w:ascii="Times New Roman" w:hAnsi="Times New Roman" w:cs="Times New Roman"/>
          <w:sz w:val="24"/>
          <w:szCs w:val="24"/>
        </w:rPr>
        <w:t xml:space="preserve">islocated </w:t>
      </w:r>
      <w:r w:rsidRPr="00F81527">
        <w:rPr>
          <w:rFonts w:ascii="Times New Roman" w:hAnsi="Times New Roman" w:cs="Times New Roman"/>
          <w:sz w:val="24"/>
          <w:szCs w:val="24"/>
        </w:rPr>
        <w:t>W</w:t>
      </w:r>
      <w:r>
        <w:rPr>
          <w:rFonts w:ascii="Times New Roman" w:hAnsi="Times New Roman" w:cs="Times New Roman"/>
          <w:sz w:val="24"/>
          <w:szCs w:val="24"/>
        </w:rPr>
        <w:t>orker</w:t>
      </w:r>
      <w:r w:rsidRPr="00F81527">
        <w:rPr>
          <w:rFonts w:ascii="Times New Roman" w:hAnsi="Times New Roman" w:cs="Times New Roman"/>
          <w:sz w:val="24"/>
          <w:szCs w:val="24"/>
        </w:rPr>
        <w:t xml:space="preserve"> Training-Related Employment incentive category </w:t>
      </w:r>
      <w:r>
        <w:rPr>
          <w:rFonts w:ascii="Times New Roman" w:hAnsi="Times New Roman" w:cs="Times New Roman"/>
          <w:sz w:val="24"/>
          <w:szCs w:val="24"/>
        </w:rPr>
        <w:t xml:space="preserve">by also including youth participants, overall increases in training enrollment, and changing the award’s name to “WIOA Career Pathways Award” </w:t>
      </w:r>
      <w:r w:rsidRPr="00F81527">
        <w:rPr>
          <w:rFonts w:ascii="Times New Roman" w:hAnsi="Times New Roman" w:cs="Times New Roman"/>
          <w:sz w:val="24"/>
          <w:szCs w:val="24"/>
        </w:rPr>
        <w:t xml:space="preserve">would </w:t>
      </w:r>
      <w:r>
        <w:rPr>
          <w:rFonts w:ascii="Times New Roman" w:hAnsi="Times New Roman" w:cs="Times New Roman"/>
          <w:sz w:val="24"/>
          <w:szCs w:val="24"/>
        </w:rPr>
        <w:t>help move the Texas workforce system toward</w:t>
      </w:r>
      <w:r w:rsidRPr="00F81527">
        <w:rPr>
          <w:rFonts w:ascii="Times New Roman" w:hAnsi="Times New Roman" w:cs="Times New Roman"/>
          <w:sz w:val="24"/>
          <w:szCs w:val="24"/>
        </w:rPr>
        <w:t xml:space="preserve"> </w:t>
      </w:r>
      <w:r>
        <w:rPr>
          <w:rFonts w:ascii="Times New Roman" w:hAnsi="Times New Roman" w:cs="Times New Roman"/>
          <w:sz w:val="24"/>
          <w:szCs w:val="24"/>
        </w:rPr>
        <w:t>its</w:t>
      </w:r>
      <w:r w:rsidRPr="00F81527">
        <w:rPr>
          <w:rFonts w:ascii="Times New Roman" w:hAnsi="Times New Roman" w:cs="Times New Roman"/>
          <w:sz w:val="24"/>
          <w:szCs w:val="24"/>
        </w:rPr>
        <w:t xml:space="preserve"> goal</w:t>
      </w:r>
      <w:r>
        <w:rPr>
          <w:rFonts w:ascii="Times New Roman" w:hAnsi="Times New Roman" w:cs="Times New Roman"/>
          <w:sz w:val="24"/>
          <w:szCs w:val="24"/>
        </w:rPr>
        <w:t xml:space="preserve"> of increasing participation in WIOA training programs</w:t>
      </w:r>
      <w:r w:rsidRPr="00F81527">
        <w:rPr>
          <w:rFonts w:ascii="Times New Roman" w:hAnsi="Times New Roman" w:cs="Times New Roman"/>
          <w:sz w:val="24"/>
          <w:szCs w:val="24"/>
        </w:rPr>
        <w:t>.</w:t>
      </w:r>
      <w:bookmarkEnd w:id="4"/>
    </w:p>
    <w:p w14:paraId="0436857E" w14:textId="77777777" w:rsidR="001C0AEA" w:rsidRPr="001C0AEA" w:rsidRDefault="001C0AEA" w:rsidP="001C0AEA">
      <w:pPr>
        <w:spacing w:after="0"/>
        <w:rPr>
          <w:rFonts w:ascii="Times New Roman" w:hAnsi="Times New Roman" w:cs="Times New Roman"/>
          <w:sz w:val="24"/>
          <w:szCs w:val="24"/>
        </w:rPr>
      </w:pPr>
    </w:p>
    <w:p w14:paraId="3BF58F37" w14:textId="1FB6D0A6" w:rsidR="001C0AEA" w:rsidRPr="001C0AEA" w:rsidRDefault="001C0AEA" w:rsidP="001C0AEA">
      <w:pPr>
        <w:pStyle w:val="ListParagraph"/>
        <w:numPr>
          <w:ilvl w:val="0"/>
          <w:numId w:val="25"/>
        </w:numPr>
        <w:spacing w:after="0"/>
        <w:ind w:left="360"/>
        <w:rPr>
          <w:rFonts w:ascii="Times New Roman" w:hAnsi="Times New Roman" w:cs="Times New Roman"/>
          <w:sz w:val="24"/>
          <w:szCs w:val="24"/>
        </w:rPr>
      </w:pPr>
      <w:r w:rsidRPr="001C0AEA">
        <w:rPr>
          <w:rFonts w:ascii="Times New Roman" w:hAnsi="Times New Roman" w:cs="Times New Roman"/>
          <w:sz w:val="24"/>
          <w:szCs w:val="24"/>
        </w:rPr>
        <w:t>The Foster Youth award focuses on WIOA youth participants who are foster youth. Staff proposes modifying the data methodology to include foster youth participants who are employed and/or enrolled in an education program in quarter two post-exit. This measure replaces the current measure of percent change of youth participants who are foster youth.</w:t>
      </w:r>
    </w:p>
    <w:p w14:paraId="515747F9" w14:textId="77777777" w:rsidR="001C0AEA" w:rsidRDefault="001C0AEA" w:rsidP="00F81527">
      <w:pPr>
        <w:spacing w:after="0"/>
        <w:rPr>
          <w:rFonts w:ascii="Times New Roman" w:hAnsi="Times New Roman" w:cs="Times New Roman"/>
          <w:sz w:val="24"/>
          <w:szCs w:val="24"/>
        </w:rPr>
      </w:pPr>
    </w:p>
    <w:p w14:paraId="45D89BA6" w14:textId="4AA23ACF" w:rsidR="00F81527" w:rsidRPr="00F81527" w:rsidRDefault="00CE2A23" w:rsidP="00924968">
      <w:pPr>
        <w:pStyle w:val="ListParagraph"/>
        <w:numPr>
          <w:ilvl w:val="0"/>
          <w:numId w:val="25"/>
        </w:numPr>
        <w:spacing w:after="0"/>
        <w:ind w:left="360"/>
        <w:rPr>
          <w:rFonts w:ascii="Times New Roman" w:hAnsi="Times New Roman" w:cs="Times New Roman"/>
          <w:sz w:val="24"/>
          <w:szCs w:val="24"/>
        </w:rPr>
      </w:pPr>
      <w:bookmarkStart w:id="5" w:name="_Hlk534955946"/>
      <w:r>
        <w:rPr>
          <w:rFonts w:ascii="Times New Roman" w:hAnsi="Times New Roman" w:cs="Times New Roman"/>
          <w:sz w:val="24"/>
          <w:szCs w:val="24"/>
        </w:rPr>
        <w:t>T</w:t>
      </w:r>
      <w:r w:rsidR="008A7C9A">
        <w:rPr>
          <w:rFonts w:ascii="Times New Roman" w:hAnsi="Times New Roman" w:cs="Times New Roman"/>
          <w:sz w:val="24"/>
          <w:szCs w:val="24"/>
        </w:rPr>
        <w:t xml:space="preserve">o measure participants’ employment status, </w:t>
      </w:r>
      <w:r w:rsidR="00F81527" w:rsidRPr="00F81527">
        <w:rPr>
          <w:rFonts w:ascii="Times New Roman" w:hAnsi="Times New Roman" w:cs="Times New Roman"/>
          <w:sz w:val="24"/>
          <w:szCs w:val="24"/>
        </w:rPr>
        <w:t>TWC created the Choices Full Work Rate measure</w:t>
      </w:r>
      <w:r w:rsidR="00A23997">
        <w:rPr>
          <w:rFonts w:ascii="Times New Roman" w:hAnsi="Times New Roman" w:cs="Times New Roman"/>
          <w:sz w:val="24"/>
          <w:szCs w:val="24"/>
        </w:rPr>
        <w:t xml:space="preserve"> in response to</w:t>
      </w:r>
      <w:r w:rsidR="00F81527" w:rsidRPr="00F81527">
        <w:rPr>
          <w:rFonts w:ascii="Times New Roman" w:hAnsi="Times New Roman" w:cs="Times New Roman"/>
          <w:sz w:val="24"/>
          <w:szCs w:val="24"/>
        </w:rPr>
        <w:t xml:space="preserve"> highly varied </w:t>
      </w:r>
      <w:r w:rsidR="00A23997">
        <w:rPr>
          <w:rFonts w:ascii="Times New Roman" w:hAnsi="Times New Roman" w:cs="Times New Roman"/>
          <w:sz w:val="24"/>
          <w:szCs w:val="24"/>
        </w:rPr>
        <w:t xml:space="preserve">Board </w:t>
      </w:r>
      <w:r w:rsidR="00F81527" w:rsidRPr="00F81527">
        <w:rPr>
          <w:rFonts w:ascii="Times New Roman" w:hAnsi="Times New Roman" w:cs="Times New Roman"/>
          <w:sz w:val="24"/>
          <w:szCs w:val="24"/>
        </w:rPr>
        <w:t xml:space="preserve">performance </w:t>
      </w:r>
      <w:r w:rsidR="007A3957">
        <w:rPr>
          <w:rFonts w:ascii="Times New Roman" w:hAnsi="Times New Roman" w:cs="Times New Roman"/>
          <w:sz w:val="24"/>
          <w:szCs w:val="24"/>
        </w:rPr>
        <w:t>to</w:t>
      </w:r>
      <w:r w:rsidR="00A23997" w:rsidRPr="00F81527">
        <w:rPr>
          <w:rFonts w:ascii="Times New Roman" w:hAnsi="Times New Roman" w:cs="Times New Roman"/>
          <w:sz w:val="24"/>
          <w:szCs w:val="24"/>
        </w:rPr>
        <w:t xml:space="preserve"> </w:t>
      </w:r>
      <w:r w:rsidR="00F81527" w:rsidRPr="00F81527">
        <w:rPr>
          <w:rFonts w:ascii="Times New Roman" w:hAnsi="Times New Roman" w:cs="Times New Roman"/>
          <w:sz w:val="24"/>
          <w:szCs w:val="24"/>
        </w:rPr>
        <w:t>focus on mov</w:t>
      </w:r>
      <w:r w:rsidR="00312044">
        <w:rPr>
          <w:rFonts w:ascii="Times New Roman" w:hAnsi="Times New Roman" w:cs="Times New Roman"/>
          <w:sz w:val="24"/>
          <w:szCs w:val="24"/>
        </w:rPr>
        <w:t>ing</w:t>
      </w:r>
      <w:r w:rsidR="00F81527" w:rsidRPr="00F81527">
        <w:rPr>
          <w:rFonts w:ascii="Times New Roman" w:hAnsi="Times New Roman" w:cs="Times New Roman"/>
          <w:sz w:val="24"/>
          <w:szCs w:val="24"/>
        </w:rPr>
        <w:t xml:space="preserve"> Board performance up to or above 50</w:t>
      </w:r>
      <w:r w:rsidR="00B8251B">
        <w:rPr>
          <w:rFonts w:ascii="Times New Roman" w:hAnsi="Times New Roman" w:cs="Times New Roman"/>
          <w:sz w:val="24"/>
          <w:szCs w:val="24"/>
        </w:rPr>
        <w:t xml:space="preserve"> percent</w:t>
      </w:r>
      <w:r w:rsidR="00F81527" w:rsidRPr="00F81527">
        <w:rPr>
          <w:rFonts w:ascii="Times New Roman" w:hAnsi="Times New Roman" w:cs="Times New Roman"/>
          <w:sz w:val="24"/>
          <w:szCs w:val="24"/>
        </w:rPr>
        <w:t xml:space="preserve">. That goal was met </w:t>
      </w:r>
      <w:r w:rsidR="008B2596">
        <w:rPr>
          <w:rFonts w:ascii="Times New Roman" w:hAnsi="Times New Roman" w:cs="Times New Roman"/>
          <w:sz w:val="24"/>
          <w:szCs w:val="24"/>
        </w:rPr>
        <w:t>i</w:t>
      </w:r>
      <w:r w:rsidR="006E5CC3">
        <w:rPr>
          <w:rFonts w:ascii="Times New Roman" w:hAnsi="Times New Roman" w:cs="Times New Roman"/>
          <w:sz w:val="24"/>
          <w:szCs w:val="24"/>
        </w:rPr>
        <w:t>n Board Contract Year (BCY) 2016,</w:t>
      </w:r>
      <w:r w:rsidR="00F81527" w:rsidRPr="00F81527">
        <w:rPr>
          <w:rFonts w:ascii="Times New Roman" w:hAnsi="Times New Roman" w:cs="Times New Roman"/>
          <w:sz w:val="24"/>
          <w:szCs w:val="24"/>
        </w:rPr>
        <w:t xml:space="preserve"> when statewide performance </w:t>
      </w:r>
      <w:r w:rsidR="006B0417">
        <w:rPr>
          <w:rFonts w:ascii="Times New Roman" w:hAnsi="Times New Roman" w:cs="Times New Roman"/>
          <w:sz w:val="24"/>
          <w:szCs w:val="24"/>
        </w:rPr>
        <w:t>exceeded</w:t>
      </w:r>
      <w:r w:rsidR="00F81527" w:rsidRPr="00F81527">
        <w:rPr>
          <w:rFonts w:ascii="Times New Roman" w:hAnsi="Times New Roman" w:cs="Times New Roman"/>
          <w:sz w:val="24"/>
          <w:szCs w:val="24"/>
        </w:rPr>
        <w:t xml:space="preserve"> 50</w:t>
      </w:r>
      <w:r w:rsidR="00B8251B">
        <w:rPr>
          <w:rFonts w:ascii="Times New Roman" w:hAnsi="Times New Roman" w:cs="Times New Roman"/>
          <w:sz w:val="24"/>
          <w:szCs w:val="24"/>
        </w:rPr>
        <w:t xml:space="preserve"> percent</w:t>
      </w:r>
      <w:r w:rsidR="00A23997">
        <w:rPr>
          <w:rFonts w:ascii="Times New Roman" w:hAnsi="Times New Roman" w:cs="Times New Roman"/>
          <w:sz w:val="24"/>
          <w:szCs w:val="24"/>
        </w:rPr>
        <w:t>,</w:t>
      </w:r>
      <w:r w:rsidR="00F81527" w:rsidRPr="00F81527">
        <w:rPr>
          <w:rFonts w:ascii="Times New Roman" w:hAnsi="Times New Roman" w:cs="Times New Roman"/>
          <w:sz w:val="24"/>
          <w:szCs w:val="24"/>
        </w:rPr>
        <w:t xml:space="preserve"> and all but </w:t>
      </w:r>
      <w:r w:rsidR="00B8251B">
        <w:rPr>
          <w:rFonts w:ascii="Times New Roman" w:hAnsi="Times New Roman" w:cs="Times New Roman"/>
          <w:sz w:val="24"/>
          <w:szCs w:val="24"/>
        </w:rPr>
        <w:t>six</w:t>
      </w:r>
      <w:r w:rsidR="00F81527" w:rsidRPr="00F81527">
        <w:rPr>
          <w:rFonts w:ascii="Times New Roman" w:hAnsi="Times New Roman" w:cs="Times New Roman"/>
          <w:sz w:val="24"/>
          <w:szCs w:val="24"/>
        </w:rPr>
        <w:t xml:space="preserve"> Boards had met the standard</w:t>
      </w:r>
      <w:r w:rsidR="004C1F7B">
        <w:rPr>
          <w:rFonts w:ascii="Times New Roman" w:hAnsi="Times New Roman" w:cs="Times New Roman"/>
          <w:sz w:val="24"/>
          <w:szCs w:val="24"/>
        </w:rPr>
        <w:t>, thereby achieving the purpose of the Choices Employment Performance Incentive Award</w:t>
      </w:r>
      <w:r w:rsidR="00F81527" w:rsidRPr="00F81527">
        <w:rPr>
          <w:rFonts w:ascii="Times New Roman" w:hAnsi="Times New Roman" w:cs="Times New Roman"/>
          <w:sz w:val="24"/>
          <w:szCs w:val="24"/>
        </w:rPr>
        <w:t>.</w:t>
      </w:r>
    </w:p>
    <w:bookmarkEnd w:id="5"/>
    <w:p w14:paraId="13DEDFA8" w14:textId="23A181D2" w:rsidR="00F81527" w:rsidRDefault="00F81527" w:rsidP="005F3FA3">
      <w:pPr>
        <w:spacing w:after="0"/>
        <w:rPr>
          <w:rFonts w:ascii="Times New Roman" w:hAnsi="Times New Roman" w:cs="Times New Roman"/>
          <w:sz w:val="24"/>
          <w:szCs w:val="24"/>
        </w:rPr>
      </w:pPr>
    </w:p>
    <w:p w14:paraId="1317DCBC" w14:textId="75DF9A11" w:rsidR="001C0AEA" w:rsidRPr="001C0AEA" w:rsidRDefault="001C0AEA" w:rsidP="005F3FA3">
      <w:pPr>
        <w:pStyle w:val="ListParagraph"/>
        <w:numPr>
          <w:ilvl w:val="0"/>
          <w:numId w:val="25"/>
        </w:numPr>
        <w:spacing w:after="0"/>
        <w:ind w:left="360"/>
        <w:rPr>
          <w:rFonts w:ascii="Times New Roman" w:hAnsi="Times New Roman" w:cs="Times New Roman"/>
          <w:sz w:val="24"/>
          <w:szCs w:val="24"/>
        </w:rPr>
      </w:pPr>
      <w:r>
        <w:rPr>
          <w:rFonts w:ascii="Times New Roman" w:hAnsi="Times New Roman" w:cs="Times New Roman"/>
          <w:sz w:val="24"/>
          <w:szCs w:val="24"/>
        </w:rPr>
        <w:t xml:space="preserve">WIOA eliminated the monetary performance incentive awards that were required under </w:t>
      </w:r>
      <w:hyperlink r:id="rId9" w:history="1">
        <w:r w:rsidRPr="004A1CAA">
          <w:rPr>
            <w:rStyle w:val="Hyperlink"/>
            <w:rFonts w:ascii="Times New Roman" w:hAnsi="Times New Roman" w:cs="Times New Roman"/>
            <w:sz w:val="24"/>
            <w:szCs w:val="24"/>
          </w:rPr>
          <w:t>§666.400</w:t>
        </w:r>
      </w:hyperlink>
      <w:r>
        <w:rPr>
          <w:rFonts w:ascii="Times New Roman" w:hAnsi="Times New Roman" w:cs="Times New Roman"/>
          <w:sz w:val="24"/>
          <w:szCs w:val="24"/>
        </w:rPr>
        <w:t xml:space="preserve"> of the Workforce Investment Act of 1998 (WIA) Final Regulations. TWC has maintained the awards under WIOA, as Exemplary Performance Incentive Recognition awards, but without monetary incentive. Staff</w:t>
      </w:r>
      <w:r w:rsidRPr="00F81527">
        <w:rPr>
          <w:rFonts w:ascii="Times New Roman" w:hAnsi="Times New Roman" w:cs="Times New Roman"/>
          <w:sz w:val="24"/>
          <w:szCs w:val="24"/>
        </w:rPr>
        <w:t xml:space="preserve"> believe</w:t>
      </w:r>
      <w:r>
        <w:rPr>
          <w:rFonts w:ascii="Times New Roman" w:hAnsi="Times New Roman" w:cs="Times New Roman"/>
          <w:sz w:val="24"/>
          <w:szCs w:val="24"/>
        </w:rPr>
        <w:t>s</w:t>
      </w:r>
      <w:r w:rsidRPr="00F81527">
        <w:rPr>
          <w:rFonts w:ascii="Times New Roman" w:hAnsi="Times New Roman" w:cs="Times New Roman"/>
          <w:sz w:val="24"/>
          <w:szCs w:val="24"/>
        </w:rPr>
        <w:t xml:space="preserve"> that program-specific awards should only be used when there is an in</w:t>
      </w:r>
      <w:r>
        <w:rPr>
          <w:rFonts w:ascii="Times New Roman" w:hAnsi="Times New Roman" w:cs="Times New Roman"/>
          <w:sz w:val="24"/>
          <w:szCs w:val="24"/>
        </w:rPr>
        <w:t>itiative or need for emphasis.</w:t>
      </w:r>
    </w:p>
    <w:p w14:paraId="1CC95769" w14:textId="77777777" w:rsidR="001C0AEA" w:rsidRDefault="001C0AEA" w:rsidP="005F3FA3">
      <w:pPr>
        <w:spacing w:after="0"/>
        <w:rPr>
          <w:rFonts w:ascii="Times New Roman" w:hAnsi="Times New Roman" w:cs="Times New Roman"/>
          <w:sz w:val="24"/>
          <w:szCs w:val="24"/>
        </w:rPr>
      </w:pPr>
    </w:p>
    <w:p w14:paraId="6E8E85D4" w14:textId="285A82F4" w:rsidR="008E562E" w:rsidRPr="00D7233A" w:rsidRDefault="008E562E" w:rsidP="00924968">
      <w:pPr>
        <w:pStyle w:val="ListParagraph"/>
        <w:numPr>
          <w:ilvl w:val="0"/>
          <w:numId w:val="25"/>
        </w:numPr>
        <w:spacing w:after="0"/>
        <w:ind w:left="360"/>
        <w:rPr>
          <w:rFonts w:ascii="Times New Roman" w:hAnsi="Times New Roman" w:cs="Times New Roman"/>
          <w:sz w:val="24"/>
          <w:szCs w:val="24"/>
        </w:rPr>
      </w:pPr>
      <w:r w:rsidRPr="00D7233A">
        <w:rPr>
          <w:rFonts w:ascii="Times New Roman" w:hAnsi="Times New Roman" w:cs="Times New Roman"/>
          <w:sz w:val="24"/>
          <w:szCs w:val="24"/>
        </w:rPr>
        <w:t>Finally, staff has identified a way to award and recognize top-performing AEL grantees</w:t>
      </w:r>
      <w:r w:rsidR="001F584D">
        <w:rPr>
          <w:rFonts w:ascii="Times New Roman" w:hAnsi="Times New Roman" w:cs="Times New Roman"/>
          <w:sz w:val="24"/>
          <w:szCs w:val="24"/>
        </w:rPr>
        <w:t>’</w:t>
      </w:r>
      <w:r w:rsidRPr="00D7233A">
        <w:rPr>
          <w:rFonts w:ascii="Times New Roman" w:hAnsi="Times New Roman" w:cs="Times New Roman"/>
          <w:sz w:val="24"/>
          <w:szCs w:val="24"/>
        </w:rPr>
        <w:t xml:space="preserve"> achievements toward meeting targeted measures</w:t>
      </w:r>
      <w:r w:rsidR="001F584D">
        <w:rPr>
          <w:rFonts w:ascii="Times New Roman" w:hAnsi="Times New Roman" w:cs="Times New Roman"/>
          <w:sz w:val="24"/>
          <w:szCs w:val="24"/>
        </w:rPr>
        <w:t xml:space="preserve"> by</w:t>
      </w:r>
      <w:r w:rsidR="001F584D" w:rsidRPr="00D7233A">
        <w:rPr>
          <w:rFonts w:ascii="Times New Roman" w:hAnsi="Times New Roman" w:cs="Times New Roman"/>
          <w:sz w:val="24"/>
          <w:szCs w:val="24"/>
        </w:rPr>
        <w:t xml:space="preserve"> </w:t>
      </w:r>
      <w:r w:rsidRPr="00D7233A">
        <w:rPr>
          <w:rFonts w:ascii="Times New Roman" w:hAnsi="Times New Roman" w:cs="Times New Roman"/>
          <w:sz w:val="24"/>
          <w:szCs w:val="24"/>
        </w:rPr>
        <w:t xml:space="preserve">awarding programs with overall high quality and performance outcomes in service delivery. </w:t>
      </w:r>
      <w:r w:rsidR="00DD6DBE">
        <w:rPr>
          <w:rFonts w:ascii="Times New Roman" w:hAnsi="Times New Roman" w:cs="Times New Roman"/>
          <w:sz w:val="24"/>
          <w:szCs w:val="24"/>
        </w:rPr>
        <w:t xml:space="preserve">Staff proposes </w:t>
      </w:r>
      <w:r w:rsidR="00673274">
        <w:rPr>
          <w:rFonts w:ascii="Times New Roman" w:hAnsi="Times New Roman" w:cs="Times New Roman"/>
          <w:sz w:val="24"/>
          <w:szCs w:val="24"/>
        </w:rPr>
        <w:t>a</w:t>
      </w:r>
      <w:r w:rsidR="00673274" w:rsidRPr="00D7233A">
        <w:rPr>
          <w:rFonts w:ascii="Times New Roman" w:hAnsi="Times New Roman" w:cs="Times New Roman"/>
          <w:sz w:val="24"/>
          <w:szCs w:val="24"/>
        </w:rPr>
        <w:t xml:space="preserve"> </w:t>
      </w:r>
      <w:r w:rsidRPr="00D7233A">
        <w:rPr>
          <w:rFonts w:ascii="Times New Roman" w:hAnsi="Times New Roman" w:cs="Times New Roman"/>
          <w:sz w:val="24"/>
          <w:szCs w:val="24"/>
        </w:rPr>
        <w:t>data-driven award that recognizes an AEL program’s performance holistically across performance measures</w:t>
      </w:r>
      <w:r w:rsidR="00673274">
        <w:rPr>
          <w:rFonts w:ascii="Times New Roman" w:hAnsi="Times New Roman" w:cs="Times New Roman"/>
          <w:sz w:val="24"/>
          <w:szCs w:val="24"/>
        </w:rPr>
        <w:t>,</w:t>
      </w:r>
      <w:r w:rsidRPr="00D7233A">
        <w:rPr>
          <w:rFonts w:ascii="Times New Roman" w:hAnsi="Times New Roman" w:cs="Times New Roman"/>
          <w:sz w:val="24"/>
          <w:szCs w:val="24"/>
        </w:rPr>
        <w:t xml:space="preserve"> removes the burdensome nomination application process</w:t>
      </w:r>
      <w:r w:rsidR="00673274">
        <w:rPr>
          <w:rFonts w:ascii="Times New Roman" w:hAnsi="Times New Roman" w:cs="Times New Roman"/>
          <w:sz w:val="24"/>
          <w:szCs w:val="24"/>
        </w:rPr>
        <w:t>,</w:t>
      </w:r>
      <w:r w:rsidRPr="00D7233A">
        <w:rPr>
          <w:rFonts w:ascii="Times New Roman" w:hAnsi="Times New Roman" w:cs="Times New Roman"/>
          <w:sz w:val="24"/>
          <w:szCs w:val="24"/>
        </w:rPr>
        <w:t xml:space="preserve"> and provides a more comprehensive view of the program’s service delivery in supporting the educational and career advancement of participants across the state.</w:t>
      </w:r>
    </w:p>
    <w:p w14:paraId="4EA10C19" w14:textId="3F95C6A7" w:rsidR="0085344F" w:rsidRDefault="0085344F" w:rsidP="00E848CC">
      <w:pPr>
        <w:spacing w:after="0"/>
        <w:rPr>
          <w:rFonts w:ascii="Times New Roman" w:hAnsi="Times New Roman" w:cs="Times New Roman"/>
          <w:sz w:val="24"/>
          <w:szCs w:val="24"/>
        </w:rPr>
      </w:pPr>
    </w:p>
    <w:p w14:paraId="717077C7" w14:textId="630204EE" w:rsidR="00FA255B" w:rsidRPr="0092407E" w:rsidRDefault="00FA255B" w:rsidP="00E848CC">
      <w:pPr>
        <w:spacing w:after="0"/>
        <w:rPr>
          <w:b/>
          <w:sz w:val="24"/>
          <w:szCs w:val="24"/>
        </w:rPr>
      </w:pPr>
      <w:r w:rsidRPr="0092407E">
        <w:rPr>
          <w:b/>
          <w:sz w:val="24"/>
          <w:szCs w:val="24"/>
        </w:rPr>
        <w:t>Decision Point</w:t>
      </w:r>
      <w:r w:rsidR="006D19AE">
        <w:rPr>
          <w:b/>
          <w:sz w:val="24"/>
          <w:szCs w:val="24"/>
        </w:rPr>
        <w:t xml:space="preserve"> 1</w:t>
      </w:r>
    </w:p>
    <w:bookmarkEnd w:id="2"/>
    <w:p w14:paraId="3367F367" w14:textId="0C1BD8CA" w:rsidR="0092407E" w:rsidRDefault="00DF7EA2" w:rsidP="0082717F">
      <w:pPr>
        <w:spacing w:after="0" w:line="240" w:lineRule="auto"/>
        <w:rPr>
          <w:sz w:val="24"/>
          <w:szCs w:val="24"/>
        </w:rPr>
      </w:pPr>
      <w:r w:rsidRPr="00DF7EA2">
        <w:rPr>
          <w:sz w:val="24"/>
          <w:szCs w:val="24"/>
        </w:rPr>
        <w:t xml:space="preserve">Staff </w:t>
      </w:r>
      <w:r w:rsidR="00E46FB2">
        <w:rPr>
          <w:sz w:val="24"/>
          <w:szCs w:val="24"/>
        </w:rPr>
        <w:t>s</w:t>
      </w:r>
      <w:r w:rsidR="00853966">
        <w:rPr>
          <w:sz w:val="24"/>
          <w:szCs w:val="24"/>
        </w:rPr>
        <w:t>eeks direction on</w:t>
      </w:r>
      <w:r w:rsidR="007E1FEF">
        <w:rPr>
          <w:sz w:val="24"/>
          <w:szCs w:val="24"/>
        </w:rPr>
        <w:t xml:space="preserve"> </w:t>
      </w:r>
      <w:r w:rsidR="00E46FB2">
        <w:rPr>
          <w:sz w:val="24"/>
          <w:szCs w:val="24"/>
        </w:rPr>
        <w:t>awards</w:t>
      </w:r>
      <w:r w:rsidRPr="00DF7EA2">
        <w:rPr>
          <w:sz w:val="24"/>
          <w:szCs w:val="24"/>
        </w:rPr>
        <w:t xml:space="preserve"> </w:t>
      </w:r>
      <w:r w:rsidR="00E46FB2">
        <w:rPr>
          <w:sz w:val="24"/>
          <w:szCs w:val="24"/>
        </w:rPr>
        <w:t xml:space="preserve">to </w:t>
      </w:r>
      <w:r w:rsidR="004036F3">
        <w:rPr>
          <w:sz w:val="24"/>
          <w:szCs w:val="24"/>
        </w:rPr>
        <w:t xml:space="preserve">employers, </w:t>
      </w:r>
      <w:r w:rsidR="00E46FB2">
        <w:rPr>
          <w:sz w:val="24"/>
          <w:szCs w:val="24"/>
        </w:rPr>
        <w:t>Boards</w:t>
      </w:r>
      <w:r w:rsidR="002978FD">
        <w:rPr>
          <w:sz w:val="24"/>
          <w:szCs w:val="24"/>
        </w:rPr>
        <w:t>, community colleges,</w:t>
      </w:r>
      <w:r w:rsidR="00E46FB2">
        <w:rPr>
          <w:sz w:val="24"/>
          <w:szCs w:val="24"/>
        </w:rPr>
        <w:t xml:space="preserve"> and AEL grantees</w:t>
      </w:r>
      <w:r w:rsidRPr="00DF7EA2">
        <w:rPr>
          <w:sz w:val="24"/>
          <w:szCs w:val="24"/>
        </w:rPr>
        <w:t xml:space="preserve"> as set forth in the Workforce Awards Overview and Recommendations</w:t>
      </w:r>
      <w:r w:rsidR="006B504E">
        <w:rPr>
          <w:sz w:val="24"/>
          <w:szCs w:val="24"/>
        </w:rPr>
        <w:t xml:space="preserve"> </w:t>
      </w:r>
      <w:r w:rsidR="003B1243">
        <w:rPr>
          <w:sz w:val="24"/>
          <w:szCs w:val="24"/>
        </w:rPr>
        <w:t>attachment</w:t>
      </w:r>
      <w:r w:rsidR="00E46FB2">
        <w:rPr>
          <w:sz w:val="24"/>
          <w:szCs w:val="24"/>
        </w:rPr>
        <w:t>.</w:t>
      </w:r>
      <w:r w:rsidR="00702892">
        <w:rPr>
          <w:sz w:val="24"/>
          <w:szCs w:val="24"/>
        </w:rPr>
        <w:t xml:space="preserve"> </w:t>
      </w:r>
      <w:r w:rsidR="00905F0E">
        <w:rPr>
          <w:sz w:val="24"/>
          <w:szCs w:val="24"/>
        </w:rPr>
        <w:t xml:space="preserve">Any future </w:t>
      </w:r>
      <w:r w:rsidR="00853966">
        <w:rPr>
          <w:sz w:val="24"/>
          <w:szCs w:val="24"/>
        </w:rPr>
        <w:t>modif</w:t>
      </w:r>
      <w:r w:rsidR="00905F0E">
        <w:rPr>
          <w:sz w:val="24"/>
          <w:szCs w:val="24"/>
        </w:rPr>
        <w:t>ications to</w:t>
      </w:r>
      <w:r w:rsidR="00853966">
        <w:rPr>
          <w:sz w:val="24"/>
          <w:szCs w:val="24"/>
        </w:rPr>
        <w:t xml:space="preserve"> award categories </w:t>
      </w:r>
      <w:r w:rsidR="002F0937">
        <w:rPr>
          <w:sz w:val="24"/>
          <w:szCs w:val="24"/>
        </w:rPr>
        <w:t>and/</w:t>
      </w:r>
      <w:r w:rsidR="00853966">
        <w:rPr>
          <w:sz w:val="24"/>
          <w:szCs w:val="24"/>
        </w:rPr>
        <w:t>or amounts</w:t>
      </w:r>
      <w:r w:rsidR="000B6DF1">
        <w:rPr>
          <w:sz w:val="24"/>
          <w:szCs w:val="24"/>
        </w:rPr>
        <w:t xml:space="preserve"> will be made by</w:t>
      </w:r>
      <w:r w:rsidR="00853966">
        <w:rPr>
          <w:sz w:val="24"/>
          <w:szCs w:val="24"/>
        </w:rPr>
        <w:t xml:space="preserve"> the Commission</w:t>
      </w:r>
      <w:r w:rsidR="009C7DFC">
        <w:rPr>
          <w:sz w:val="24"/>
          <w:szCs w:val="24"/>
        </w:rPr>
        <w:t xml:space="preserve"> as needed</w:t>
      </w:r>
      <w:r w:rsidR="002F0937">
        <w:rPr>
          <w:sz w:val="24"/>
          <w:szCs w:val="24"/>
        </w:rPr>
        <w:t>.</w:t>
      </w:r>
    </w:p>
    <w:p w14:paraId="648495FA" w14:textId="47C71357" w:rsidR="002F0937" w:rsidRDefault="002F0937" w:rsidP="0082717F">
      <w:pPr>
        <w:spacing w:after="0" w:line="240" w:lineRule="auto"/>
        <w:rPr>
          <w:sz w:val="24"/>
          <w:szCs w:val="24"/>
        </w:rPr>
      </w:pPr>
    </w:p>
    <w:p w14:paraId="74358AD9" w14:textId="3A890FD9" w:rsidR="00001EB5" w:rsidRPr="0074584A" w:rsidRDefault="00001EB5" w:rsidP="00001EB5">
      <w:pPr>
        <w:spacing w:after="0" w:line="240" w:lineRule="auto"/>
        <w:rPr>
          <w:rFonts w:ascii="Times New Roman" w:hAnsi="Times New Roman" w:cs="Times New Roman"/>
          <w:sz w:val="24"/>
          <w:szCs w:val="24"/>
        </w:rPr>
      </w:pPr>
      <w:r w:rsidRPr="0074584A">
        <w:rPr>
          <w:rFonts w:ascii="Times New Roman" w:hAnsi="Times New Roman" w:cs="Times New Roman"/>
          <w:b/>
          <w:sz w:val="24"/>
          <w:szCs w:val="24"/>
        </w:rPr>
        <w:t>Issue</w:t>
      </w:r>
      <w:r w:rsidR="006C4A9B">
        <w:rPr>
          <w:rFonts w:ascii="Times New Roman" w:hAnsi="Times New Roman" w:cs="Times New Roman"/>
          <w:b/>
          <w:sz w:val="24"/>
          <w:szCs w:val="24"/>
        </w:rPr>
        <w:t xml:space="preserve"> 2</w:t>
      </w:r>
      <w:r w:rsidRPr="0074584A">
        <w:rPr>
          <w:rFonts w:ascii="Times New Roman" w:hAnsi="Times New Roman" w:cs="Times New Roman"/>
          <w:b/>
          <w:sz w:val="24"/>
          <w:szCs w:val="24"/>
        </w:rPr>
        <w:t xml:space="preserve">: </w:t>
      </w:r>
      <w:r w:rsidR="00673274" w:rsidRPr="0074584A">
        <w:rPr>
          <w:rFonts w:ascii="Times New Roman" w:hAnsi="Times New Roman" w:cs="Times New Roman"/>
          <w:b/>
          <w:sz w:val="24"/>
          <w:szCs w:val="24"/>
        </w:rPr>
        <w:t>2019</w:t>
      </w:r>
      <w:r w:rsidR="00D5642A" w:rsidRPr="0074584A">
        <w:rPr>
          <w:rFonts w:ascii="Times New Roman" w:hAnsi="Times New Roman" w:cs="Times New Roman"/>
          <w:b/>
          <w:sz w:val="24"/>
          <w:szCs w:val="24"/>
        </w:rPr>
        <w:t xml:space="preserve"> </w:t>
      </w:r>
      <w:r w:rsidR="009C764B" w:rsidRPr="0074584A">
        <w:rPr>
          <w:rFonts w:ascii="Times New Roman" w:hAnsi="Times New Roman" w:cs="Times New Roman"/>
          <w:b/>
          <w:sz w:val="24"/>
          <w:szCs w:val="24"/>
        </w:rPr>
        <w:t>Awards Budget</w:t>
      </w:r>
      <w:r w:rsidR="00673274" w:rsidRPr="0074584A">
        <w:rPr>
          <w:rFonts w:ascii="Times New Roman" w:hAnsi="Times New Roman" w:cs="Times New Roman"/>
          <w:b/>
          <w:sz w:val="24"/>
          <w:szCs w:val="24"/>
        </w:rPr>
        <w:t xml:space="preserve"> Amounts</w:t>
      </w:r>
    </w:p>
    <w:p w14:paraId="451C8DC9" w14:textId="4634BFEB" w:rsidR="00001EB5" w:rsidRPr="0074584A" w:rsidRDefault="00526CD8" w:rsidP="00001EB5">
      <w:pPr>
        <w:spacing w:after="0"/>
        <w:rPr>
          <w:rFonts w:ascii="Times New Roman" w:hAnsi="Times New Roman" w:cs="Times New Roman"/>
          <w:sz w:val="24"/>
          <w:szCs w:val="24"/>
        </w:rPr>
      </w:pPr>
      <w:r w:rsidRPr="0074584A">
        <w:rPr>
          <w:rFonts w:ascii="Times New Roman" w:hAnsi="Times New Roman" w:cs="Times New Roman"/>
          <w:sz w:val="24"/>
          <w:szCs w:val="24"/>
        </w:rPr>
        <w:t>On</w:t>
      </w:r>
      <w:r w:rsidR="0060278B" w:rsidRPr="0074584A">
        <w:rPr>
          <w:rFonts w:ascii="Times New Roman" w:hAnsi="Times New Roman" w:cs="Times New Roman"/>
          <w:sz w:val="24"/>
          <w:szCs w:val="24"/>
        </w:rPr>
        <w:t xml:space="preserve"> March </w:t>
      </w:r>
      <w:r w:rsidR="00397C22" w:rsidRPr="0074584A">
        <w:rPr>
          <w:rFonts w:ascii="Times New Roman" w:hAnsi="Times New Roman" w:cs="Times New Roman"/>
          <w:sz w:val="24"/>
          <w:szCs w:val="24"/>
        </w:rPr>
        <w:t xml:space="preserve">14, </w:t>
      </w:r>
      <w:r w:rsidR="0060278B" w:rsidRPr="0074584A">
        <w:rPr>
          <w:rFonts w:ascii="Times New Roman" w:hAnsi="Times New Roman" w:cs="Times New Roman"/>
          <w:sz w:val="24"/>
          <w:szCs w:val="24"/>
        </w:rPr>
        <w:t xml:space="preserve">2017, the Commission approved </w:t>
      </w:r>
      <w:r w:rsidR="00B21371" w:rsidRPr="0074584A">
        <w:rPr>
          <w:rFonts w:ascii="Times New Roman" w:hAnsi="Times New Roman" w:cs="Times New Roman"/>
          <w:sz w:val="24"/>
          <w:szCs w:val="24"/>
        </w:rPr>
        <w:t xml:space="preserve">the </w:t>
      </w:r>
      <w:r w:rsidR="0060278B" w:rsidRPr="0074584A">
        <w:rPr>
          <w:rFonts w:ascii="Times New Roman" w:hAnsi="Times New Roman" w:cs="Times New Roman"/>
          <w:sz w:val="24"/>
          <w:szCs w:val="24"/>
        </w:rPr>
        <w:t xml:space="preserve">awards to be </w:t>
      </w:r>
      <w:r w:rsidR="009F4F91" w:rsidRPr="0074584A">
        <w:rPr>
          <w:rFonts w:ascii="Times New Roman" w:hAnsi="Times New Roman" w:cs="Times New Roman"/>
          <w:sz w:val="24"/>
          <w:szCs w:val="24"/>
        </w:rPr>
        <w:t xml:space="preserve">presented </w:t>
      </w:r>
      <w:r w:rsidR="0060278B" w:rsidRPr="0074584A">
        <w:rPr>
          <w:rFonts w:ascii="Times New Roman" w:hAnsi="Times New Roman" w:cs="Times New Roman"/>
          <w:sz w:val="24"/>
          <w:szCs w:val="24"/>
        </w:rPr>
        <w:t xml:space="preserve">at the 2017 and 2018 </w:t>
      </w:r>
      <w:r w:rsidR="00B21371" w:rsidRPr="0074584A">
        <w:rPr>
          <w:rFonts w:ascii="Times New Roman" w:hAnsi="Times New Roman" w:cs="Times New Roman"/>
          <w:sz w:val="24"/>
          <w:szCs w:val="24"/>
        </w:rPr>
        <w:t xml:space="preserve">Texas </w:t>
      </w:r>
      <w:r w:rsidR="0060278B" w:rsidRPr="0074584A">
        <w:rPr>
          <w:rFonts w:ascii="Times New Roman" w:hAnsi="Times New Roman" w:cs="Times New Roman"/>
          <w:sz w:val="24"/>
          <w:szCs w:val="24"/>
        </w:rPr>
        <w:t>Workforce Conference</w:t>
      </w:r>
      <w:r w:rsidR="00FA2CF1" w:rsidRPr="0074584A">
        <w:rPr>
          <w:rFonts w:ascii="Times New Roman" w:hAnsi="Times New Roman" w:cs="Times New Roman"/>
          <w:sz w:val="24"/>
          <w:szCs w:val="24"/>
        </w:rPr>
        <w:t>s</w:t>
      </w:r>
      <w:r w:rsidR="0060278B" w:rsidRPr="0074584A">
        <w:rPr>
          <w:rFonts w:ascii="Times New Roman" w:hAnsi="Times New Roman" w:cs="Times New Roman"/>
          <w:sz w:val="24"/>
          <w:szCs w:val="24"/>
        </w:rPr>
        <w:t xml:space="preserve">. </w:t>
      </w:r>
      <w:bookmarkStart w:id="6" w:name="_Hlk534879218"/>
      <w:r w:rsidR="0060278B" w:rsidRPr="0074584A">
        <w:rPr>
          <w:rFonts w:ascii="Times New Roman" w:hAnsi="Times New Roman" w:cs="Times New Roman"/>
          <w:sz w:val="24"/>
          <w:szCs w:val="24"/>
        </w:rPr>
        <w:t xml:space="preserve">At </w:t>
      </w:r>
      <w:r w:rsidR="00FA2CF1" w:rsidRPr="0074584A">
        <w:rPr>
          <w:rFonts w:ascii="Times New Roman" w:hAnsi="Times New Roman" w:cs="Times New Roman"/>
          <w:sz w:val="24"/>
          <w:szCs w:val="24"/>
        </w:rPr>
        <w:t xml:space="preserve">that </w:t>
      </w:r>
      <w:r w:rsidR="0060278B" w:rsidRPr="0074584A">
        <w:rPr>
          <w:rFonts w:ascii="Times New Roman" w:hAnsi="Times New Roman" w:cs="Times New Roman"/>
          <w:sz w:val="24"/>
          <w:szCs w:val="24"/>
        </w:rPr>
        <w:t xml:space="preserve">time, the </w:t>
      </w:r>
      <w:r w:rsidR="00397C22" w:rsidRPr="0074584A">
        <w:rPr>
          <w:rFonts w:ascii="Times New Roman" w:hAnsi="Times New Roman" w:cs="Times New Roman"/>
          <w:sz w:val="24"/>
          <w:szCs w:val="24"/>
        </w:rPr>
        <w:t>Child Care Quality (CCQ)</w:t>
      </w:r>
      <w:r w:rsidR="0060278B" w:rsidRPr="0074584A">
        <w:rPr>
          <w:rFonts w:ascii="Times New Roman" w:hAnsi="Times New Roman" w:cs="Times New Roman"/>
          <w:sz w:val="24"/>
          <w:szCs w:val="24"/>
        </w:rPr>
        <w:t xml:space="preserve"> </w:t>
      </w:r>
      <w:r w:rsidR="0017265B">
        <w:rPr>
          <w:rFonts w:ascii="Times New Roman" w:hAnsi="Times New Roman" w:cs="Times New Roman"/>
          <w:sz w:val="24"/>
          <w:szCs w:val="24"/>
        </w:rPr>
        <w:t>A</w:t>
      </w:r>
      <w:r w:rsidR="0017265B" w:rsidRPr="0074584A">
        <w:rPr>
          <w:rFonts w:ascii="Times New Roman" w:hAnsi="Times New Roman" w:cs="Times New Roman"/>
          <w:sz w:val="24"/>
          <w:szCs w:val="24"/>
        </w:rPr>
        <w:t xml:space="preserve">ward </w:t>
      </w:r>
      <w:r w:rsidR="0060278B" w:rsidRPr="0074584A">
        <w:rPr>
          <w:rFonts w:ascii="Times New Roman" w:hAnsi="Times New Roman" w:cs="Times New Roman"/>
          <w:sz w:val="24"/>
          <w:szCs w:val="24"/>
        </w:rPr>
        <w:t xml:space="preserve">was replaced with the Texas </w:t>
      </w:r>
      <w:r w:rsidR="00397C22" w:rsidRPr="0074584A">
        <w:rPr>
          <w:rFonts w:ascii="Times New Roman" w:hAnsi="Times New Roman" w:cs="Times New Roman"/>
          <w:sz w:val="24"/>
          <w:szCs w:val="24"/>
        </w:rPr>
        <w:t>Rising</w:t>
      </w:r>
      <w:r w:rsidR="0060278B" w:rsidRPr="0074584A">
        <w:rPr>
          <w:rFonts w:ascii="Times New Roman" w:hAnsi="Times New Roman" w:cs="Times New Roman"/>
          <w:sz w:val="24"/>
          <w:szCs w:val="24"/>
        </w:rPr>
        <w:t xml:space="preserve"> Star </w:t>
      </w:r>
      <w:r w:rsidR="0017265B">
        <w:rPr>
          <w:rFonts w:ascii="Times New Roman" w:hAnsi="Times New Roman" w:cs="Times New Roman"/>
          <w:sz w:val="24"/>
          <w:szCs w:val="24"/>
        </w:rPr>
        <w:t xml:space="preserve">Child Care </w:t>
      </w:r>
      <w:r w:rsidR="0060278B" w:rsidRPr="0074584A">
        <w:rPr>
          <w:rFonts w:ascii="Times New Roman" w:hAnsi="Times New Roman" w:cs="Times New Roman"/>
          <w:sz w:val="24"/>
          <w:szCs w:val="24"/>
        </w:rPr>
        <w:t>Award</w:t>
      </w:r>
      <w:r w:rsidR="00FA2CF1" w:rsidRPr="0074584A">
        <w:rPr>
          <w:rFonts w:ascii="Times New Roman" w:hAnsi="Times New Roman" w:cs="Times New Roman"/>
          <w:sz w:val="24"/>
          <w:szCs w:val="24"/>
        </w:rPr>
        <w:t>,</w:t>
      </w:r>
      <w:r w:rsidR="0060278B" w:rsidRPr="0074584A">
        <w:rPr>
          <w:rFonts w:ascii="Times New Roman" w:hAnsi="Times New Roman" w:cs="Times New Roman"/>
          <w:sz w:val="24"/>
          <w:szCs w:val="24"/>
        </w:rPr>
        <w:t xml:space="preserve"> and the WIA Youth Award was replaced with the Foster Youth </w:t>
      </w:r>
      <w:r w:rsidRPr="0074584A">
        <w:rPr>
          <w:rFonts w:ascii="Times New Roman" w:hAnsi="Times New Roman" w:cs="Times New Roman"/>
          <w:sz w:val="24"/>
          <w:szCs w:val="24"/>
        </w:rPr>
        <w:t>Award</w:t>
      </w:r>
      <w:r w:rsidR="0060278B" w:rsidRPr="0074584A">
        <w:rPr>
          <w:rFonts w:ascii="Times New Roman" w:hAnsi="Times New Roman" w:cs="Times New Roman"/>
          <w:sz w:val="24"/>
          <w:szCs w:val="24"/>
        </w:rPr>
        <w:t>.</w:t>
      </w:r>
      <w:bookmarkEnd w:id="6"/>
      <w:r w:rsidR="00C03F85" w:rsidRPr="0074584A">
        <w:rPr>
          <w:rFonts w:ascii="Times New Roman" w:hAnsi="Times New Roman" w:cs="Times New Roman"/>
          <w:sz w:val="24"/>
          <w:szCs w:val="24"/>
        </w:rPr>
        <w:t xml:space="preserve"> </w:t>
      </w:r>
      <w:r w:rsidR="00C51AB2" w:rsidRPr="0074584A">
        <w:rPr>
          <w:rFonts w:ascii="Times New Roman" w:hAnsi="Times New Roman" w:cs="Times New Roman"/>
          <w:sz w:val="24"/>
          <w:szCs w:val="24"/>
        </w:rPr>
        <w:t xml:space="preserve">On July 3, 2018, the Commission approved </w:t>
      </w:r>
      <w:r w:rsidR="00D5642A" w:rsidRPr="0074584A">
        <w:rPr>
          <w:rFonts w:ascii="Times New Roman" w:hAnsi="Times New Roman" w:cs="Times New Roman"/>
          <w:sz w:val="24"/>
          <w:szCs w:val="24"/>
        </w:rPr>
        <w:t xml:space="preserve">a </w:t>
      </w:r>
      <w:r w:rsidR="005D2B1F" w:rsidRPr="0074584A">
        <w:rPr>
          <w:rFonts w:ascii="Times New Roman" w:hAnsi="Times New Roman" w:cs="Times New Roman"/>
          <w:sz w:val="24"/>
          <w:szCs w:val="24"/>
        </w:rPr>
        <w:t>legislative appropriations request (</w:t>
      </w:r>
      <w:r w:rsidR="00C51AB2" w:rsidRPr="0074584A">
        <w:rPr>
          <w:rFonts w:ascii="Times New Roman" w:hAnsi="Times New Roman" w:cs="Times New Roman"/>
          <w:sz w:val="24"/>
          <w:szCs w:val="24"/>
        </w:rPr>
        <w:t>LAR</w:t>
      </w:r>
      <w:r w:rsidR="005D2B1F" w:rsidRPr="0074584A">
        <w:rPr>
          <w:rFonts w:ascii="Times New Roman" w:hAnsi="Times New Roman" w:cs="Times New Roman"/>
          <w:sz w:val="24"/>
          <w:szCs w:val="24"/>
        </w:rPr>
        <w:t>)</w:t>
      </w:r>
      <w:r w:rsidR="00C51AB2" w:rsidRPr="0074584A">
        <w:rPr>
          <w:rFonts w:ascii="Times New Roman" w:hAnsi="Times New Roman" w:cs="Times New Roman"/>
          <w:sz w:val="24"/>
          <w:szCs w:val="24"/>
        </w:rPr>
        <w:t xml:space="preserve"> </w:t>
      </w:r>
      <w:r w:rsidR="00D5642A" w:rsidRPr="0074584A">
        <w:rPr>
          <w:rFonts w:ascii="Times New Roman" w:hAnsi="Times New Roman" w:cs="Times New Roman"/>
          <w:sz w:val="24"/>
          <w:szCs w:val="24"/>
        </w:rPr>
        <w:t xml:space="preserve">to fund </w:t>
      </w:r>
      <w:r w:rsidR="00C51AB2" w:rsidRPr="0074584A">
        <w:rPr>
          <w:rFonts w:ascii="Times New Roman" w:hAnsi="Times New Roman" w:cs="Times New Roman"/>
          <w:sz w:val="24"/>
          <w:szCs w:val="24"/>
        </w:rPr>
        <w:t xml:space="preserve">the </w:t>
      </w:r>
      <w:r w:rsidR="00D5642A" w:rsidRPr="0074584A">
        <w:rPr>
          <w:rFonts w:ascii="Times New Roman" w:hAnsi="Times New Roman" w:cs="Times New Roman"/>
          <w:sz w:val="24"/>
          <w:szCs w:val="24"/>
        </w:rPr>
        <w:t xml:space="preserve">Board performance </w:t>
      </w:r>
      <w:r w:rsidR="00C51AB2" w:rsidRPr="0074584A">
        <w:rPr>
          <w:rFonts w:ascii="Times New Roman" w:hAnsi="Times New Roman" w:cs="Times New Roman"/>
          <w:sz w:val="24"/>
          <w:szCs w:val="24"/>
        </w:rPr>
        <w:t xml:space="preserve">and </w:t>
      </w:r>
      <w:r w:rsidR="00D5642A" w:rsidRPr="0074584A">
        <w:rPr>
          <w:rFonts w:ascii="Times New Roman" w:hAnsi="Times New Roman" w:cs="Times New Roman"/>
          <w:sz w:val="24"/>
          <w:szCs w:val="24"/>
        </w:rPr>
        <w:t xml:space="preserve">incentive awards </w:t>
      </w:r>
      <w:r w:rsidR="00C51AB2" w:rsidRPr="0074584A">
        <w:rPr>
          <w:rFonts w:ascii="Times New Roman" w:hAnsi="Times New Roman" w:cs="Times New Roman"/>
          <w:sz w:val="24"/>
          <w:szCs w:val="24"/>
        </w:rPr>
        <w:t>for 2019</w:t>
      </w:r>
      <w:r w:rsidR="00C03F85" w:rsidRPr="0074584A">
        <w:rPr>
          <w:rFonts w:ascii="Times New Roman" w:hAnsi="Times New Roman" w:cs="Times New Roman"/>
          <w:sz w:val="24"/>
          <w:szCs w:val="24"/>
        </w:rPr>
        <w:t xml:space="preserve">. </w:t>
      </w:r>
      <w:r w:rsidR="00D5642A" w:rsidRPr="0074584A">
        <w:rPr>
          <w:rFonts w:ascii="Times New Roman" w:hAnsi="Times New Roman" w:cs="Times New Roman"/>
          <w:sz w:val="24"/>
          <w:szCs w:val="24"/>
        </w:rPr>
        <w:t>While that LAR included funding for the Texas Rising Star and Foster Youth awards, it also included funding</w:t>
      </w:r>
      <w:r w:rsidR="00C03F85" w:rsidRPr="0074584A">
        <w:rPr>
          <w:rFonts w:ascii="Times New Roman" w:hAnsi="Times New Roman" w:cs="Times New Roman"/>
          <w:sz w:val="24"/>
          <w:szCs w:val="24"/>
        </w:rPr>
        <w:t xml:space="preserve"> for the </w:t>
      </w:r>
      <w:r w:rsidR="00D5642A" w:rsidRPr="0074584A">
        <w:rPr>
          <w:rFonts w:ascii="Times New Roman" w:hAnsi="Times New Roman" w:cs="Times New Roman"/>
          <w:sz w:val="24"/>
          <w:szCs w:val="24"/>
        </w:rPr>
        <w:t xml:space="preserve">defunct </w:t>
      </w:r>
      <w:r w:rsidR="00C03F85" w:rsidRPr="0074584A">
        <w:rPr>
          <w:rFonts w:ascii="Times New Roman" w:hAnsi="Times New Roman" w:cs="Times New Roman"/>
          <w:sz w:val="24"/>
          <w:szCs w:val="24"/>
        </w:rPr>
        <w:t>CCQ and WIA Youth awards</w:t>
      </w:r>
      <w:r w:rsidR="00D5642A" w:rsidRPr="0074584A">
        <w:rPr>
          <w:rFonts w:ascii="Times New Roman" w:hAnsi="Times New Roman" w:cs="Times New Roman"/>
          <w:sz w:val="24"/>
          <w:szCs w:val="24"/>
        </w:rPr>
        <w:t>, which was inadvertently approved</w:t>
      </w:r>
      <w:r w:rsidR="00F71FA0" w:rsidRPr="0074584A">
        <w:rPr>
          <w:rFonts w:ascii="Times New Roman" w:hAnsi="Times New Roman" w:cs="Times New Roman"/>
          <w:sz w:val="24"/>
          <w:szCs w:val="24"/>
        </w:rPr>
        <w:t>.</w:t>
      </w:r>
    </w:p>
    <w:p w14:paraId="68D0CD25" w14:textId="7CDDB967" w:rsidR="003E66F1" w:rsidRPr="0074584A" w:rsidRDefault="003E66F1" w:rsidP="00001EB5">
      <w:pPr>
        <w:spacing w:after="0"/>
        <w:rPr>
          <w:rFonts w:ascii="Times New Roman" w:hAnsi="Times New Roman" w:cs="Times New Roman"/>
          <w:sz w:val="24"/>
          <w:szCs w:val="24"/>
        </w:rPr>
      </w:pPr>
    </w:p>
    <w:p w14:paraId="62B0B287" w14:textId="2F942818" w:rsidR="00001EB5" w:rsidRPr="0074584A" w:rsidRDefault="00001EB5" w:rsidP="00001EB5">
      <w:pPr>
        <w:spacing w:after="0"/>
        <w:rPr>
          <w:b/>
          <w:sz w:val="24"/>
          <w:szCs w:val="24"/>
        </w:rPr>
      </w:pPr>
      <w:r w:rsidRPr="0074584A">
        <w:rPr>
          <w:b/>
          <w:sz w:val="24"/>
          <w:szCs w:val="24"/>
        </w:rPr>
        <w:t>Decision Point</w:t>
      </w:r>
      <w:r w:rsidR="006D19AE">
        <w:rPr>
          <w:b/>
          <w:sz w:val="24"/>
          <w:szCs w:val="24"/>
        </w:rPr>
        <w:t xml:space="preserve"> 2</w:t>
      </w:r>
    </w:p>
    <w:p w14:paraId="2FBDC660" w14:textId="5A4B6234" w:rsidR="00001EB5" w:rsidRPr="0074584A" w:rsidRDefault="00001EB5" w:rsidP="00001EB5">
      <w:pPr>
        <w:spacing w:after="0" w:line="240" w:lineRule="auto"/>
        <w:rPr>
          <w:sz w:val="24"/>
          <w:szCs w:val="24"/>
        </w:rPr>
      </w:pPr>
      <w:r w:rsidRPr="0074584A">
        <w:rPr>
          <w:sz w:val="24"/>
          <w:szCs w:val="24"/>
        </w:rPr>
        <w:t xml:space="preserve">Staff </w:t>
      </w:r>
      <w:r w:rsidR="009C6142" w:rsidRPr="0074584A">
        <w:rPr>
          <w:sz w:val="24"/>
          <w:szCs w:val="24"/>
        </w:rPr>
        <w:t xml:space="preserve">seeks direction on </w:t>
      </w:r>
      <w:r w:rsidR="0060278B" w:rsidRPr="0074584A">
        <w:rPr>
          <w:sz w:val="24"/>
          <w:szCs w:val="24"/>
        </w:rPr>
        <w:t xml:space="preserve">eliminating the </w:t>
      </w:r>
      <w:r w:rsidR="004361A9" w:rsidRPr="0074584A">
        <w:rPr>
          <w:sz w:val="24"/>
          <w:szCs w:val="24"/>
        </w:rPr>
        <w:t xml:space="preserve">2019 </w:t>
      </w:r>
      <w:r w:rsidR="009C6142" w:rsidRPr="0074584A">
        <w:rPr>
          <w:sz w:val="24"/>
          <w:szCs w:val="24"/>
        </w:rPr>
        <w:t xml:space="preserve">budget amounts for </w:t>
      </w:r>
      <w:r w:rsidR="0060278B" w:rsidRPr="0074584A">
        <w:rPr>
          <w:sz w:val="24"/>
          <w:szCs w:val="24"/>
        </w:rPr>
        <w:t xml:space="preserve">the </w:t>
      </w:r>
      <w:r w:rsidR="00C03F85" w:rsidRPr="0074584A">
        <w:rPr>
          <w:sz w:val="24"/>
          <w:szCs w:val="24"/>
        </w:rPr>
        <w:t>CCQ</w:t>
      </w:r>
      <w:r w:rsidR="0060278B" w:rsidRPr="0074584A">
        <w:rPr>
          <w:sz w:val="24"/>
          <w:szCs w:val="24"/>
        </w:rPr>
        <w:t xml:space="preserve"> and WIA Youth Awards.</w:t>
      </w:r>
    </w:p>
    <w:p w14:paraId="047E1B02" w14:textId="77777777" w:rsidR="00001EB5" w:rsidRPr="0074584A" w:rsidRDefault="00001EB5" w:rsidP="0082717F">
      <w:pPr>
        <w:spacing w:after="0" w:line="240" w:lineRule="auto"/>
        <w:rPr>
          <w:sz w:val="24"/>
          <w:szCs w:val="24"/>
        </w:rPr>
      </w:pPr>
    </w:p>
    <w:p w14:paraId="559E7785" w14:textId="1FC4D133" w:rsidR="002F0937" w:rsidRPr="0074584A" w:rsidRDefault="002F0937" w:rsidP="002F0937">
      <w:pPr>
        <w:spacing w:after="0" w:line="240" w:lineRule="auto"/>
        <w:rPr>
          <w:rFonts w:ascii="Times New Roman" w:hAnsi="Times New Roman" w:cs="Times New Roman"/>
          <w:sz w:val="24"/>
          <w:szCs w:val="24"/>
        </w:rPr>
      </w:pPr>
      <w:r w:rsidRPr="0074584A">
        <w:rPr>
          <w:rFonts w:ascii="Times New Roman" w:hAnsi="Times New Roman" w:cs="Times New Roman"/>
          <w:b/>
          <w:sz w:val="24"/>
          <w:szCs w:val="24"/>
        </w:rPr>
        <w:t>Issue</w:t>
      </w:r>
      <w:r w:rsidR="006C4A9B">
        <w:rPr>
          <w:rFonts w:ascii="Times New Roman" w:hAnsi="Times New Roman" w:cs="Times New Roman"/>
          <w:b/>
          <w:sz w:val="24"/>
          <w:szCs w:val="24"/>
        </w:rPr>
        <w:t xml:space="preserve"> 3</w:t>
      </w:r>
      <w:r w:rsidRPr="0074584A">
        <w:rPr>
          <w:rFonts w:ascii="Times New Roman" w:hAnsi="Times New Roman" w:cs="Times New Roman"/>
          <w:b/>
          <w:sz w:val="24"/>
          <w:szCs w:val="24"/>
        </w:rPr>
        <w:t xml:space="preserve">: Board </w:t>
      </w:r>
      <w:r w:rsidR="00080F7B" w:rsidRPr="0074584A">
        <w:rPr>
          <w:rFonts w:ascii="Times New Roman" w:hAnsi="Times New Roman" w:cs="Times New Roman"/>
          <w:b/>
          <w:sz w:val="24"/>
          <w:szCs w:val="24"/>
        </w:rPr>
        <w:t>Quartiles</w:t>
      </w:r>
    </w:p>
    <w:p w14:paraId="1B9E9C6A" w14:textId="7884DB81" w:rsidR="002F0937" w:rsidRDefault="002F0937" w:rsidP="006B504E">
      <w:pPr>
        <w:spacing w:after="0"/>
        <w:rPr>
          <w:szCs w:val="24"/>
        </w:rPr>
      </w:pPr>
      <w:r w:rsidRPr="0074584A">
        <w:rPr>
          <w:sz w:val="24"/>
          <w:szCs w:val="24"/>
        </w:rPr>
        <w:t>TWC rule §802.165 allows the Commission to group Boards in</w:t>
      </w:r>
      <w:r w:rsidR="007E1FEF" w:rsidRPr="0074584A">
        <w:rPr>
          <w:sz w:val="24"/>
          <w:szCs w:val="24"/>
        </w:rPr>
        <w:t>to</w:t>
      </w:r>
      <w:r w:rsidRPr="0074584A">
        <w:rPr>
          <w:sz w:val="24"/>
          <w:szCs w:val="24"/>
        </w:rPr>
        <w:t xml:space="preserve"> classifications</w:t>
      </w:r>
      <w:r w:rsidR="00BD7580">
        <w:rPr>
          <w:sz w:val="24"/>
          <w:szCs w:val="24"/>
        </w:rPr>
        <w:t>—</w:t>
      </w:r>
      <w:r w:rsidRPr="0074584A">
        <w:rPr>
          <w:sz w:val="24"/>
          <w:szCs w:val="24"/>
        </w:rPr>
        <w:t>for comparison purposes</w:t>
      </w:r>
      <w:r w:rsidR="00BD7580">
        <w:rPr>
          <w:sz w:val="24"/>
          <w:szCs w:val="24"/>
        </w:rPr>
        <w:t>—</w:t>
      </w:r>
      <w:r w:rsidRPr="0074584A">
        <w:rPr>
          <w:sz w:val="24"/>
          <w:szCs w:val="24"/>
        </w:rPr>
        <w:t xml:space="preserve">based on similarities or differences relating to </w:t>
      </w:r>
      <w:r w:rsidR="0059078C" w:rsidRPr="0074584A">
        <w:rPr>
          <w:sz w:val="24"/>
          <w:szCs w:val="24"/>
        </w:rPr>
        <w:t>allocation of funds</w:t>
      </w:r>
      <w:r w:rsidR="007351C3">
        <w:rPr>
          <w:sz w:val="24"/>
          <w:szCs w:val="24"/>
        </w:rPr>
        <w:t>;</w:t>
      </w:r>
      <w:r w:rsidRPr="0074584A">
        <w:rPr>
          <w:sz w:val="24"/>
          <w:szCs w:val="24"/>
        </w:rPr>
        <w:t xml:space="preserve"> prior performance</w:t>
      </w:r>
      <w:r w:rsidR="007351C3">
        <w:rPr>
          <w:sz w:val="24"/>
          <w:szCs w:val="24"/>
        </w:rPr>
        <w:t>;</w:t>
      </w:r>
      <w:r w:rsidRPr="0074584A">
        <w:rPr>
          <w:sz w:val="24"/>
          <w:szCs w:val="24"/>
        </w:rPr>
        <w:t xml:space="preserve"> or demographic, economic, or other characteristics of </w:t>
      </w:r>
      <w:r w:rsidR="003B1243">
        <w:rPr>
          <w:sz w:val="24"/>
          <w:szCs w:val="24"/>
        </w:rPr>
        <w:t xml:space="preserve">local </w:t>
      </w:r>
      <w:r w:rsidRPr="0074584A">
        <w:rPr>
          <w:sz w:val="24"/>
          <w:szCs w:val="24"/>
        </w:rPr>
        <w:t xml:space="preserve">workforce </w:t>
      </w:r>
      <w:r w:rsidR="003B1243">
        <w:rPr>
          <w:sz w:val="24"/>
          <w:szCs w:val="24"/>
        </w:rPr>
        <w:t xml:space="preserve">development </w:t>
      </w:r>
      <w:r w:rsidRPr="0074584A">
        <w:rPr>
          <w:sz w:val="24"/>
          <w:szCs w:val="24"/>
        </w:rPr>
        <w:t xml:space="preserve">areas. The Board Performance Incentive Awards </w:t>
      </w:r>
      <w:r w:rsidR="00CB447E" w:rsidRPr="0074584A">
        <w:rPr>
          <w:sz w:val="24"/>
          <w:szCs w:val="24"/>
        </w:rPr>
        <w:t>and the Texas Rising Star Child Care Awards</w:t>
      </w:r>
      <w:r w:rsidR="00903A9E" w:rsidRPr="0074584A">
        <w:rPr>
          <w:sz w:val="24"/>
          <w:szCs w:val="24"/>
        </w:rPr>
        <w:t xml:space="preserve"> </w:t>
      </w:r>
      <w:r w:rsidR="00E51ED2" w:rsidRPr="0074584A">
        <w:rPr>
          <w:sz w:val="24"/>
          <w:szCs w:val="24"/>
        </w:rPr>
        <w:t xml:space="preserve">historically </w:t>
      </w:r>
      <w:r w:rsidR="001F584D" w:rsidRPr="0074584A">
        <w:rPr>
          <w:sz w:val="24"/>
          <w:szCs w:val="24"/>
        </w:rPr>
        <w:t xml:space="preserve">have been </w:t>
      </w:r>
      <w:r w:rsidRPr="0074584A">
        <w:rPr>
          <w:sz w:val="24"/>
          <w:szCs w:val="24"/>
        </w:rPr>
        <w:t>issued to Boards by quartile</w:t>
      </w:r>
      <w:r w:rsidR="00A278AD" w:rsidRPr="0074584A">
        <w:rPr>
          <w:sz w:val="24"/>
          <w:szCs w:val="24"/>
        </w:rPr>
        <w:t xml:space="preserve">. </w:t>
      </w:r>
      <w:r w:rsidRPr="0074584A">
        <w:rPr>
          <w:sz w:val="24"/>
          <w:szCs w:val="24"/>
        </w:rPr>
        <w:t xml:space="preserve">Boards are assigned to a quartile based on total </w:t>
      </w:r>
      <w:r w:rsidR="0029111D" w:rsidRPr="0074584A">
        <w:rPr>
          <w:sz w:val="24"/>
          <w:szCs w:val="24"/>
        </w:rPr>
        <w:t xml:space="preserve">Board </w:t>
      </w:r>
      <w:r w:rsidR="00791DB3" w:rsidRPr="0074584A">
        <w:rPr>
          <w:sz w:val="24"/>
          <w:szCs w:val="24"/>
        </w:rPr>
        <w:t xml:space="preserve">allocation </w:t>
      </w:r>
      <w:r w:rsidRPr="0074584A">
        <w:rPr>
          <w:sz w:val="24"/>
          <w:szCs w:val="24"/>
        </w:rPr>
        <w:t>amounts</w:t>
      </w:r>
      <w:r w:rsidR="00A278AD" w:rsidRPr="0074584A">
        <w:rPr>
          <w:sz w:val="24"/>
          <w:szCs w:val="24"/>
        </w:rPr>
        <w:t xml:space="preserve"> for the corresponding BCY</w:t>
      </w:r>
      <w:r w:rsidR="00FC6099" w:rsidRPr="0074584A">
        <w:rPr>
          <w:sz w:val="24"/>
          <w:szCs w:val="24"/>
        </w:rPr>
        <w:t xml:space="preserve">. For example, the first quartile would include the seven Boards with the lowest </w:t>
      </w:r>
      <w:r w:rsidR="0029111D" w:rsidRPr="0074584A">
        <w:rPr>
          <w:sz w:val="24"/>
          <w:szCs w:val="24"/>
        </w:rPr>
        <w:t>funding</w:t>
      </w:r>
      <w:r w:rsidR="00FC6099" w:rsidRPr="0074584A">
        <w:rPr>
          <w:sz w:val="24"/>
          <w:szCs w:val="24"/>
        </w:rPr>
        <w:t xml:space="preserve"> amounts.</w:t>
      </w:r>
    </w:p>
    <w:p w14:paraId="78FF6C35" w14:textId="77777777" w:rsidR="0029111D" w:rsidRDefault="0029111D" w:rsidP="006B504E">
      <w:pPr>
        <w:spacing w:after="0"/>
        <w:rPr>
          <w:szCs w:val="24"/>
        </w:rPr>
      </w:pPr>
    </w:p>
    <w:p w14:paraId="21EA4996" w14:textId="00C1C320" w:rsidR="002F0937" w:rsidRPr="0092407E" w:rsidRDefault="002F0937" w:rsidP="006B504E">
      <w:pPr>
        <w:spacing w:after="0"/>
        <w:rPr>
          <w:b/>
          <w:sz w:val="24"/>
          <w:szCs w:val="24"/>
        </w:rPr>
      </w:pPr>
      <w:r w:rsidRPr="0092407E">
        <w:rPr>
          <w:b/>
          <w:sz w:val="24"/>
          <w:szCs w:val="24"/>
        </w:rPr>
        <w:t>Decision Point</w:t>
      </w:r>
      <w:r w:rsidR="006D19AE">
        <w:rPr>
          <w:b/>
          <w:sz w:val="24"/>
          <w:szCs w:val="24"/>
        </w:rPr>
        <w:t xml:space="preserve"> 3</w:t>
      </w:r>
    </w:p>
    <w:p w14:paraId="3415B345" w14:textId="3EBF4177" w:rsidR="002F0937" w:rsidRDefault="002F0937" w:rsidP="002F0937">
      <w:pPr>
        <w:spacing w:after="0" w:line="240" w:lineRule="auto"/>
        <w:rPr>
          <w:sz w:val="24"/>
          <w:szCs w:val="24"/>
        </w:rPr>
      </w:pPr>
      <w:r w:rsidRPr="00DF7EA2">
        <w:rPr>
          <w:sz w:val="24"/>
          <w:szCs w:val="24"/>
        </w:rPr>
        <w:t xml:space="preserve">Staff </w:t>
      </w:r>
      <w:r>
        <w:rPr>
          <w:sz w:val="24"/>
          <w:szCs w:val="24"/>
        </w:rPr>
        <w:t xml:space="preserve">seeks direction on issuing the Board Performance Incentive Awards each year by quartile according to the </w:t>
      </w:r>
      <w:r w:rsidR="007E1FEF">
        <w:rPr>
          <w:sz w:val="24"/>
          <w:szCs w:val="24"/>
        </w:rPr>
        <w:t>Board’s</w:t>
      </w:r>
      <w:r w:rsidR="002978FD">
        <w:rPr>
          <w:sz w:val="24"/>
          <w:szCs w:val="24"/>
        </w:rPr>
        <w:t xml:space="preserve"> </w:t>
      </w:r>
      <w:r w:rsidR="00080F7B">
        <w:rPr>
          <w:sz w:val="24"/>
          <w:szCs w:val="24"/>
        </w:rPr>
        <w:t>total funding</w:t>
      </w:r>
      <w:r w:rsidR="002978FD">
        <w:rPr>
          <w:sz w:val="24"/>
          <w:szCs w:val="24"/>
        </w:rPr>
        <w:t xml:space="preserve"> </w:t>
      </w:r>
      <w:r w:rsidR="007E1FEF">
        <w:rPr>
          <w:sz w:val="24"/>
          <w:szCs w:val="24"/>
        </w:rPr>
        <w:t>for the corresp</w:t>
      </w:r>
      <w:r w:rsidR="007E1FEF" w:rsidRPr="00FB1D2C">
        <w:rPr>
          <w:sz w:val="24"/>
          <w:szCs w:val="24"/>
        </w:rPr>
        <w:t xml:space="preserve">onding </w:t>
      </w:r>
      <w:r w:rsidR="00722991" w:rsidRPr="00FB1D2C">
        <w:rPr>
          <w:sz w:val="24"/>
          <w:szCs w:val="24"/>
        </w:rPr>
        <w:t>BCY.</w:t>
      </w:r>
    </w:p>
    <w:p w14:paraId="6B1AFF3E" w14:textId="209397E8" w:rsidR="001836C2" w:rsidRDefault="001836C2" w:rsidP="002F0937">
      <w:pPr>
        <w:pStyle w:val="Title"/>
        <w:spacing w:after="0"/>
        <w:jc w:val="left"/>
        <w:rPr>
          <w:b w:val="0"/>
          <w:szCs w:val="24"/>
        </w:rPr>
      </w:pPr>
    </w:p>
    <w:p w14:paraId="5FAC2F1D" w14:textId="57EAEA12" w:rsidR="002F0937" w:rsidRPr="002978FD" w:rsidRDefault="002978FD" w:rsidP="002978FD">
      <w:pPr>
        <w:spacing w:after="0" w:line="240" w:lineRule="auto"/>
        <w:rPr>
          <w:rFonts w:ascii="Times New Roman" w:hAnsi="Times New Roman" w:cs="Times New Roman"/>
          <w:b/>
          <w:sz w:val="24"/>
          <w:szCs w:val="24"/>
        </w:rPr>
      </w:pPr>
      <w:bookmarkStart w:id="7" w:name="OLE_LINK1"/>
      <w:bookmarkStart w:id="8" w:name="OLE_LINK2"/>
      <w:r w:rsidRPr="002978FD">
        <w:rPr>
          <w:rFonts w:ascii="Times New Roman" w:hAnsi="Times New Roman" w:cs="Times New Roman"/>
          <w:b/>
          <w:sz w:val="24"/>
          <w:szCs w:val="24"/>
        </w:rPr>
        <w:t>Issue</w:t>
      </w:r>
      <w:r w:rsidR="006C4A9B">
        <w:rPr>
          <w:rFonts w:ascii="Times New Roman" w:hAnsi="Times New Roman" w:cs="Times New Roman"/>
          <w:b/>
          <w:sz w:val="24"/>
          <w:szCs w:val="24"/>
        </w:rPr>
        <w:t xml:space="preserve"> 4</w:t>
      </w:r>
      <w:r w:rsidRPr="002978FD">
        <w:rPr>
          <w:rFonts w:ascii="Times New Roman" w:hAnsi="Times New Roman" w:cs="Times New Roman"/>
          <w:b/>
          <w:sz w:val="24"/>
          <w:szCs w:val="24"/>
        </w:rPr>
        <w:t>: Extraordinary Circumstances</w:t>
      </w:r>
      <w:r w:rsidR="00342E73">
        <w:rPr>
          <w:rFonts w:ascii="Times New Roman" w:hAnsi="Times New Roman" w:cs="Times New Roman"/>
          <w:b/>
          <w:sz w:val="24"/>
          <w:szCs w:val="24"/>
        </w:rPr>
        <w:t xml:space="preserve"> and Ineligibility for Awards</w:t>
      </w:r>
    </w:p>
    <w:bookmarkEnd w:id="7"/>
    <w:bookmarkEnd w:id="8"/>
    <w:p w14:paraId="7DFC2501" w14:textId="2C02024D" w:rsidR="00890BE9" w:rsidRDefault="002978FD" w:rsidP="0035323C">
      <w:pPr>
        <w:spacing w:after="0"/>
        <w:rPr>
          <w:sz w:val="24"/>
          <w:szCs w:val="24"/>
        </w:rPr>
      </w:pPr>
      <w:r w:rsidRPr="002978FD">
        <w:rPr>
          <w:sz w:val="24"/>
          <w:szCs w:val="24"/>
        </w:rPr>
        <w:t xml:space="preserve">TWC rules in Chapter 802, Subchapter I, allow TWC to modify eligibility for and assignment of awards based on factors that the Commission identifies as extraordinary circumstances. The rule does not explicitly state what </w:t>
      </w:r>
      <w:r w:rsidR="005D2B1F">
        <w:rPr>
          <w:sz w:val="24"/>
          <w:szCs w:val="24"/>
        </w:rPr>
        <w:t>those</w:t>
      </w:r>
      <w:r w:rsidR="005D2B1F" w:rsidRPr="002978FD">
        <w:rPr>
          <w:sz w:val="24"/>
          <w:szCs w:val="24"/>
        </w:rPr>
        <w:t xml:space="preserve"> </w:t>
      </w:r>
      <w:r w:rsidRPr="002978FD">
        <w:rPr>
          <w:sz w:val="24"/>
          <w:szCs w:val="24"/>
        </w:rPr>
        <w:t xml:space="preserve">factors are, but </w:t>
      </w:r>
      <w:r w:rsidR="00EF6792">
        <w:rPr>
          <w:sz w:val="24"/>
          <w:szCs w:val="24"/>
        </w:rPr>
        <w:t xml:space="preserve">it </w:t>
      </w:r>
      <w:r w:rsidRPr="002978FD">
        <w:rPr>
          <w:sz w:val="24"/>
          <w:szCs w:val="24"/>
        </w:rPr>
        <w:t xml:space="preserve">defines “extraordinary circumstances” as </w:t>
      </w:r>
      <w:r w:rsidR="00342E73">
        <w:rPr>
          <w:sz w:val="24"/>
          <w:szCs w:val="24"/>
        </w:rPr>
        <w:t xml:space="preserve">conditions </w:t>
      </w:r>
      <w:r w:rsidR="00094B57">
        <w:rPr>
          <w:sz w:val="24"/>
          <w:szCs w:val="24"/>
        </w:rPr>
        <w:t>“</w:t>
      </w:r>
      <w:r w:rsidR="004A7970">
        <w:rPr>
          <w:sz w:val="24"/>
          <w:szCs w:val="24"/>
        </w:rPr>
        <w:t>which may include</w:t>
      </w:r>
      <w:r w:rsidR="00094B57">
        <w:rPr>
          <w:sz w:val="24"/>
          <w:szCs w:val="24"/>
        </w:rPr>
        <w:t>,</w:t>
      </w:r>
      <w:r w:rsidR="004A7970">
        <w:rPr>
          <w:sz w:val="24"/>
          <w:szCs w:val="24"/>
        </w:rPr>
        <w:t xml:space="preserve"> but are</w:t>
      </w:r>
      <w:r w:rsidR="00B21371">
        <w:rPr>
          <w:sz w:val="24"/>
          <w:szCs w:val="24"/>
        </w:rPr>
        <w:t xml:space="preserve"> </w:t>
      </w:r>
      <w:r w:rsidR="00342E73">
        <w:rPr>
          <w:sz w:val="24"/>
          <w:szCs w:val="24"/>
        </w:rPr>
        <w:t>not limited to</w:t>
      </w:r>
      <w:r w:rsidR="00094B57">
        <w:rPr>
          <w:sz w:val="24"/>
          <w:szCs w:val="24"/>
        </w:rPr>
        <w:t>,</w:t>
      </w:r>
      <w:r w:rsidR="00342E73">
        <w:rPr>
          <w:sz w:val="24"/>
          <w:szCs w:val="24"/>
        </w:rPr>
        <w:t xml:space="preserve"> </w:t>
      </w:r>
      <w:r w:rsidRPr="002978FD">
        <w:rPr>
          <w:sz w:val="24"/>
          <w:szCs w:val="24"/>
        </w:rPr>
        <w:t xml:space="preserve">matters such as serious unforeseen events, unresolved audit or monitoring findings, sanctions, unanticipated changes in economic conditions, the occurrence of a disaster, or legislative changes having a direct impact on the Commission, Boards, or AEL </w:t>
      </w:r>
      <w:r w:rsidR="00890BE9">
        <w:rPr>
          <w:sz w:val="24"/>
          <w:szCs w:val="24"/>
        </w:rPr>
        <w:t>grant recipients</w:t>
      </w:r>
      <w:r w:rsidRPr="002978FD">
        <w:rPr>
          <w:sz w:val="24"/>
          <w:szCs w:val="24"/>
        </w:rPr>
        <w:t>.”</w:t>
      </w:r>
    </w:p>
    <w:p w14:paraId="622BC925" w14:textId="77777777" w:rsidR="00890BE9" w:rsidRDefault="00890BE9" w:rsidP="0035323C">
      <w:pPr>
        <w:spacing w:after="0"/>
        <w:rPr>
          <w:sz w:val="24"/>
          <w:szCs w:val="24"/>
        </w:rPr>
      </w:pPr>
    </w:p>
    <w:p w14:paraId="5315DEA6" w14:textId="213CECC2" w:rsidR="00342E73" w:rsidRDefault="00342E73" w:rsidP="0035323C">
      <w:pPr>
        <w:spacing w:after="0"/>
        <w:rPr>
          <w:sz w:val="24"/>
          <w:szCs w:val="24"/>
        </w:rPr>
      </w:pPr>
      <w:r>
        <w:rPr>
          <w:sz w:val="24"/>
          <w:szCs w:val="24"/>
        </w:rPr>
        <w:t xml:space="preserve">TWC </w:t>
      </w:r>
      <w:r w:rsidR="0050207F">
        <w:rPr>
          <w:sz w:val="24"/>
          <w:szCs w:val="24"/>
        </w:rPr>
        <w:t>considers</w:t>
      </w:r>
      <w:r>
        <w:rPr>
          <w:sz w:val="24"/>
          <w:szCs w:val="24"/>
        </w:rPr>
        <w:t xml:space="preserve"> the following </w:t>
      </w:r>
      <w:r w:rsidR="00890BE9">
        <w:rPr>
          <w:sz w:val="24"/>
          <w:szCs w:val="24"/>
        </w:rPr>
        <w:t xml:space="preserve">factors </w:t>
      </w:r>
      <w:r w:rsidR="00515EA7">
        <w:rPr>
          <w:sz w:val="24"/>
          <w:szCs w:val="24"/>
        </w:rPr>
        <w:t>when</w:t>
      </w:r>
      <w:r w:rsidR="00515EA7" w:rsidRPr="002978FD">
        <w:rPr>
          <w:sz w:val="24"/>
          <w:szCs w:val="24"/>
        </w:rPr>
        <w:t xml:space="preserve"> </w:t>
      </w:r>
      <w:r w:rsidRPr="002978FD">
        <w:rPr>
          <w:sz w:val="24"/>
          <w:szCs w:val="24"/>
        </w:rPr>
        <w:t xml:space="preserve">determining </w:t>
      </w:r>
      <w:r w:rsidR="00CF6B76">
        <w:rPr>
          <w:sz w:val="24"/>
          <w:szCs w:val="24"/>
        </w:rPr>
        <w:t>an entity’s eligibility to receive</w:t>
      </w:r>
      <w:r w:rsidRPr="002978FD">
        <w:rPr>
          <w:sz w:val="24"/>
          <w:szCs w:val="24"/>
        </w:rPr>
        <w:t xml:space="preserve"> Workforce A</w:t>
      </w:r>
      <w:r>
        <w:rPr>
          <w:sz w:val="24"/>
          <w:szCs w:val="24"/>
        </w:rPr>
        <w:t>wards:</w:t>
      </w:r>
    </w:p>
    <w:p w14:paraId="00DDB9D1" w14:textId="26D68103" w:rsidR="00AA60EE" w:rsidRDefault="00AA60EE" w:rsidP="00342E73">
      <w:pPr>
        <w:numPr>
          <w:ilvl w:val="0"/>
          <w:numId w:val="27"/>
        </w:numPr>
        <w:spacing w:after="0" w:line="240" w:lineRule="auto"/>
        <w:rPr>
          <w:sz w:val="24"/>
          <w:szCs w:val="24"/>
        </w:rPr>
      </w:pPr>
      <w:r>
        <w:rPr>
          <w:sz w:val="24"/>
          <w:szCs w:val="24"/>
        </w:rPr>
        <w:t>Corrective action related to</w:t>
      </w:r>
      <w:r w:rsidR="007E1FEF">
        <w:rPr>
          <w:sz w:val="24"/>
          <w:szCs w:val="24"/>
        </w:rPr>
        <w:t>:</w:t>
      </w:r>
    </w:p>
    <w:p w14:paraId="0C2A6D96" w14:textId="75F78A63" w:rsidR="002978FD" w:rsidRPr="00773D80" w:rsidRDefault="007E1FEF" w:rsidP="004628C3">
      <w:pPr>
        <w:numPr>
          <w:ilvl w:val="1"/>
          <w:numId w:val="34"/>
        </w:numPr>
        <w:spacing w:after="0" w:line="240" w:lineRule="auto"/>
        <w:ind w:left="720"/>
        <w:rPr>
          <w:sz w:val="24"/>
          <w:szCs w:val="24"/>
        </w:rPr>
      </w:pPr>
      <w:r w:rsidRPr="00773D80">
        <w:rPr>
          <w:sz w:val="24"/>
          <w:szCs w:val="24"/>
        </w:rPr>
        <w:t xml:space="preserve">failure </w:t>
      </w:r>
      <w:r w:rsidR="002978FD" w:rsidRPr="00773D80">
        <w:rPr>
          <w:sz w:val="24"/>
          <w:szCs w:val="24"/>
        </w:rPr>
        <w:t>to meet relevant performance targets</w:t>
      </w:r>
      <w:r w:rsidRPr="00773D80">
        <w:rPr>
          <w:sz w:val="24"/>
          <w:szCs w:val="24"/>
        </w:rPr>
        <w:t>;</w:t>
      </w:r>
    </w:p>
    <w:p w14:paraId="52BAC47F" w14:textId="3484FAB7" w:rsidR="002978FD" w:rsidRPr="00567B64" w:rsidRDefault="007E1FEF" w:rsidP="004628C3">
      <w:pPr>
        <w:numPr>
          <w:ilvl w:val="1"/>
          <w:numId w:val="34"/>
        </w:numPr>
        <w:spacing w:after="0" w:line="240" w:lineRule="auto"/>
        <w:ind w:left="720"/>
        <w:rPr>
          <w:sz w:val="24"/>
          <w:szCs w:val="24"/>
        </w:rPr>
      </w:pPr>
      <w:r w:rsidRPr="00567B64">
        <w:rPr>
          <w:sz w:val="24"/>
          <w:szCs w:val="24"/>
        </w:rPr>
        <w:t xml:space="preserve">repeat </w:t>
      </w:r>
      <w:r w:rsidR="002978FD" w:rsidRPr="00567B64">
        <w:rPr>
          <w:sz w:val="24"/>
          <w:szCs w:val="24"/>
        </w:rPr>
        <w:t>monitoring findings</w:t>
      </w:r>
      <w:r w:rsidRPr="00567B64">
        <w:rPr>
          <w:sz w:val="24"/>
          <w:szCs w:val="24"/>
        </w:rPr>
        <w:t>;</w:t>
      </w:r>
    </w:p>
    <w:p w14:paraId="62110E08" w14:textId="7A5A23B7" w:rsidR="002978FD" w:rsidRPr="00773D80" w:rsidRDefault="007E1FEF" w:rsidP="004628C3">
      <w:pPr>
        <w:numPr>
          <w:ilvl w:val="1"/>
          <w:numId w:val="34"/>
        </w:numPr>
        <w:spacing w:after="0" w:line="240" w:lineRule="auto"/>
        <w:ind w:left="720"/>
        <w:rPr>
          <w:sz w:val="24"/>
          <w:szCs w:val="24"/>
        </w:rPr>
      </w:pPr>
      <w:r w:rsidRPr="00773D80">
        <w:rPr>
          <w:sz w:val="24"/>
          <w:szCs w:val="24"/>
        </w:rPr>
        <w:t xml:space="preserve">failure </w:t>
      </w:r>
      <w:r w:rsidR="002978FD" w:rsidRPr="00773D80">
        <w:rPr>
          <w:sz w:val="24"/>
          <w:szCs w:val="24"/>
        </w:rPr>
        <w:t xml:space="preserve">to provide </w:t>
      </w:r>
      <w:r w:rsidR="003B0AC6" w:rsidRPr="00773D80">
        <w:rPr>
          <w:sz w:val="24"/>
          <w:szCs w:val="24"/>
        </w:rPr>
        <w:t>cost</w:t>
      </w:r>
      <w:r w:rsidR="003B0AC6">
        <w:rPr>
          <w:sz w:val="24"/>
          <w:szCs w:val="24"/>
        </w:rPr>
        <w:t>-</w:t>
      </w:r>
      <w:r w:rsidR="002978FD" w:rsidRPr="00773D80">
        <w:rPr>
          <w:sz w:val="24"/>
          <w:szCs w:val="24"/>
        </w:rPr>
        <w:t>effective services, as evidenced by unusually high average costs</w:t>
      </w:r>
      <w:r w:rsidRPr="00773D80">
        <w:rPr>
          <w:sz w:val="24"/>
          <w:szCs w:val="24"/>
        </w:rPr>
        <w:t>; or</w:t>
      </w:r>
    </w:p>
    <w:p w14:paraId="43543733" w14:textId="2C81BD3A" w:rsidR="002978FD" w:rsidRPr="00773D80" w:rsidRDefault="007E1FEF" w:rsidP="004628C3">
      <w:pPr>
        <w:numPr>
          <w:ilvl w:val="1"/>
          <w:numId w:val="34"/>
        </w:numPr>
        <w:spacing w:after="0" w:line="240" w:lineRule="auto"/>
        <w:ind w:left="720"/>
        <w:rPr>
          <w:sz w:val="24"/>
          <w:szCs w:val="24"/>
        </w:rPr>
      </w:pPr>
      <w:r w:rsidRPr="00773D80">
        <w:rPr>
          <w:sz w:val="24"/>
          <w:szCs w:val="24"/>
        </w:rPr>
        <w:t xml:space="preserve">failure </w:t>
      </w:r>
      <w:r w:rsidR="002978FD" w:rsidRPr="00773D80">
        <w:rPr>
          <w:sz w:val="24"/>
          <w:szCs w:val="24"/>
        </w:rPr>
        <w:t>to oversee the delivery of services</w:t>
      </w:r>
      <w:r w:rsidRPr="00773D80">
        <w:rPr>
          <w:sz w:val="24"/>
          <w:szCs w:val="24"/>
        </w:rPr>
        <w:t>.</w:t>
      </w:r>
    </w:p>
    <w:p w14:paraId="059622AE" w14:textId="10449AF9" w:rsidR="003446DD" w:rsidRPr="0074584A" w:rsidRDefault="003446DD" w:rsidP="007E1FEF">
      <w:pPr>
        <w:numPr>
          <w:ilvl w:val="0"/>
          <w:numId w:val="27"/>
        </w:numPr>
        <w:spacing w:after="0" w:line="240" w:lineRule="auto"/>
        <w:rPr>
          <w:sz w:val="24"/>
          <w:szCs w:val="24"/>
        </w:rPr>
      </w:pPr>
      <w:r w:rsidRPr="00773D80">
        <w:rPr>
          <w:sz w:val="24"/>
          <w:szCs w:val="24"/>
        </w:rPr>
        <w:t xml:space="preserve">Voluntary deobligation of </w:t>
      </w:r>
      <w:r w:rsidRPr="0074584A">
        <w:rPr>
          <w:sz w:val="24"/>
          <w:szCs w:val="24"/>
        </w:rPr>
        <w:t>funds related to an award or program</w:t>
      </w:r>
    </w:p>
    <w:p w14:paraId="41A60CF0" w14:textId="43D4F8C8" w:rsidR="0050207F" w:rsidRPr="0074584A" w:rsidRDefault="0050207F" w:rsidP="0050207F">
      <w:pPr>
        <w:pStyle w:val="ListParagraph"/>
        <w:numPr>
          <w:ilvl w:val="0"/>
          <w:numId w:val="27"/>
        </w:numPr>
        <w:spacing w:after="0"/>
        <w:rPr>
          <w:rFonts w:ascii="Times New Roman" w:hAnsi="Times New Roman" w:cs="Times New Roman"/>
          <w:sz w:val="24"/>
          <w:szCs w:val="24"/>
        </w:rPr>
      </w:pPr>
      <w:r w:rsidRPr="0074584A">
        <w:rPr>
          <w:rFonts w:ascii="Times New Roman" w:hAnsi="Times New Roman" w:cs="Times New Roman"/>
          <w:sz w:val="24"/>
          <w:szCs w:val="24"/>
        </w:rPr>
        <w:t>A Board’s or AEL grantee’s poor programmatic</w:t>
      </w:r>
      <w:r w:rsidR="004A7970" w:rsidRPr="0074584A">
        <w:rPr>
          <w:rFonts w:ascii="Times New Roman" w:hAnsi="Times New Roman" w:cs="Times New Roman"/>
          <w:sz w:val="24"/>
          <w:szCs w:val="24"/>
        </w:rPr>
        <w:t>, fiscal,</w:t>
      </w:r>
      <w:r w:rsidRPr="0074584A">
        <w:rPr>
          <w:rFonts w:ascii="Times New Roman" w:hAnsi="Times New Roman" w:cs="Times New Roman"/>
          <w:sz w:val="24"/>
          <w:szCs w:val="24"/>
        </w:rPr>
        <w:t xml:space="preserve"> and/or </w:t>
      </w:r>
      <w:r w:rsidR="004A7970" w:rsidRPr="0074584A">
        <w:rPr>
          <w:rFonts w:ascii="Times New Roman" w:hAnsi="Times New Roman" w:cs="Times New Roman"/>
          <w:sz w:val="24"/>
          <w:szCs w:val="24"/>
        </w:rPr>
        <w:t xml:space="preserve">administrative </w:t>
      </w:r>
      <w:r w:rsidRPr="0074584A">
        <w:rPr>
          <w:rFonts w:ascii="Times New Roman" w:hAnsi="Times New Roman" w:cs="Times New Roman"/>
          <w:sz w:val="24"/>
          <w:szCs w:val="24"/>
        </w:rPr>
        <w:t>oversight not currently addr</w:t>
      </w:r>
      <w:r w:rsidR="00344072" w:rsidRPr="0074584A">
        <w:rPr>
          <w:rFonts w:ascii="Times New Roman" w:hAnsi="Times New Roman" w:cs="Times New Roman"/>
          <w:sz w:val="24"/>
          <w:szCs w:val="24"/>
        </w:rPr>
        <w:t>essed through corrective action</w:t>
      </w:r>
    </w:p>
    <w:p w14:paraId="32FA0884" w14:textId="7E741133" w:rsidR="0050207F" w:rsidRPr="0074584A" w:rsidRDefault="0050207F" w:rsidP="0050207F">
      <w:pPr>
        <w:spacing w:after="0" w:line="240" w:lineRule="auto"/>
        <w:rPr>
          <w:sz w:val="24"/>
          <w:szCs w:val="24"/>
        </w:rPr>
      </w:pPr>
    </w:p>
    <w:p w14:paraId="69A3F5CD" w14:textId="0D6350AF" w:rsidR="001A3429" w:rsidRPr="00773D80" w:rsidRDefault="00323630" w:rsidP="008E02E6">
      <w:pPr>
        <w:spacing w:after="0" w:line="240" w:lineRule="auto"/>
        <w:rPr>
          <w:rFonts w:ascii="Times New Roman" w:hAnsi="Times New Roman" w:cs="Times New Roman"/>
          <w:sz w:val="24"/>
          <w:szCs w:val="24"/>
        </w:rPr>
      </w:pPr>
      <w:r w:rsidRPr="0074584A">
        <w:rPr>
          <w:rFonts w:ascii="Times New Roman" w:hAnsi="Times New Roman" w:cs="Times New Roman"/>
          <w:sz w:val="24"/>
          <w:szCs w:val="24"/>
        </w:rPr>
        <w:t>Additionally, under extraordinary circumstances, TWC</w:t>
      </w:r>
      <w:r w:rsidRPr="009F4F91">
        <w:rPr>
          <w:rFonts w:ascii="Times New Roman" w:hAnsi="Times New Roman" w:cs="Times New Roman"/>
          <w:sz w:val="24"/>
          <w:szCs w:val="24"/>
        </w:rPr>
        <w:t xml:space="preserve"> may decide to not present an award based on the quality of performance, nominations submitted, and/or the total number of nominations received.</w:t>
      </w:r>
    </w:p>
    <w:p w14:paraId="652DD845" w14:textId="77777777" w:rsidR="00323630" w:rsidRPr="00567B64" w:rsidRDefault="00323630" w:rsidP="008E02E6">
      <w:pPr>
        <w:spacing w:after="0" w:line="240" w:lineRule="auto"/>
        <w:rPr>
          <w:sz w:val="24"/>
          <w:szCs w:val="24"/>
        </w:rPr>
      </w:pPr>
    </w:p>
    <w:p w14:paraId="2698DC2A" w14:textId="20CB983D" w:rsidR="00FF554E" w:rsidRDefault="00342E73" w:rsidP="008E02E6">
      <w:pPr>
        <w:spacing w:after="0" w:line="240" w:lineRule="auto"/>
        <w:rPr>
          <w:sz w:val="24"/>
          <w:szCs w:val="24"/>
        </w:rPr>
      </w:pPr>
      <w:r w:rsidRPr="00567B64">
        <w:rPr>
          <w:sz w:val="24"/>
          <w:szCs w:val="24"/>
        </w:rPr>
        <w:t xml:space="preserve">The </w:t>
      </w:r>
      <w:r w:rsidR="00AA60EE" w:rsidRPr="00567B64">
        <w:rPr>
          <w:sz w:val="24"/>
          <w:szCs w:val="24"/>
        </w:rPr>
        <w:t>table</w:t>
      </w:r>
      <w:r w:rsidR="000D1E3A" w:rsidRPr="00567B64">
        <w:rPr>
          <w:sz w:val="24"/>
          <w:szCs w:val="24"/>
        </w:rPr>
        <w:t xml:space="preserve"> </w:t>
      </w:r>
      <w:r w:rsidR="001D67F7" w:rsidRPr="00567B64">
        <w:rPr>
          <w:sz w:val="24"/>
          <w:szCs w:val="24"/>
        </w:rPr>
        <w:t xml:space="preserve">below </w:t>
      </w:r>
      <w:r w:rsidR="000D1E3A" w:rsidRPr="00567B64">
        <w:rPr>
          <w:sz w:val="24"/>
          <w:szCs w:val="24"/>
        </w:rPr>
        <w:t>outlines</w:t>
      </w:r>
      <w:r w:rsidRPr="00567B64">
        <w:rPr>
          <w:sz w:val="24"/>
          <w:szCs w:val="24"/>
        </w:rPr>
        <w:t xml:space="preserve"> parameters</w:t>
      </w:r>
      <w:r w:rsidRPr="00342E73">
        <w:rPr>
          <w:sz w:val="24"/>
          <w:szCs w:val="24"/>
        </w:rPr>
        <w:t xml:space="preserve"> related to corrective actions </w:t>
      </w:r>
      <w:r w:rsidR="00BC1C18">
        <w:rPr>
          <w:sz w:val="24"/>
          <w:szCs w:val="24"/>
        </w:rPr>
        <w:t>(</w:t>
      </w:r>
      <w:r w:rsidRPr="00342E73">
        <w:rPr>
          <w:sz w:val="24"/>
          <w:szCs w:val="24"/>
        </w:rPr>
        <w:t xml:space="preserve">Technical Assistance Plans </w:t>
      </w:r>
      <w:r w:rsidR="00610A7C">
        <w:rPr>
          <w:sz w:val="24"/>
          <w:szCs w:val="24"/>
        </w:rPr>
        <w:t>(</w:t>
      </w:r>
      <w:r w:rsidRPr="00342E73">
        <w:rPr>
          <w:sz w:val="24"/>
          <w:szCs w:val="24"/>
        </w:rPr>
        <w:t>TAPs</w:t>
      </w:r>
      <w:r w:rsidR="00610A7C">
        <w:rPr>
          <w:sz w:val="24"/>
          <w:szCs w:val="24"/>
        </w:rPr>
        <w:t>)</w:t>
      </w:r>
      <w:r w:rsidR="00610A7C" w:rsidRPr="00342E73">
        <w:rPr>
          <w:sz w:val="24"/>
          <w:szCs w:val="24"/>
        </w:rPr>
        <w:t xml:space="preserve">, </w:t>
      </w:r>
      <w:r w:rsidRPr="00342E73">
        <w:rPr>
          <w:sz w:val="24"/>
          <w:szCs w:val="24"/>
        </w:rPr>
        <w:t>Intents to Sanction, and Sanctions</w:t>
      </w:r>
      <w:r w:rsidR="00BC1C18">
        <w:rPr>
          <w:sz w:val="24"/>
          <w:szCs w:val="24"/>
        </w:rPr>
        <w:t>)</w:t>
      </w:r>
      <w:r w:rsidR="00BC1C18" w:rsidRPr="00342E73">
        <w:rPr>
          <w:sz w:val="24"/>
          <w:szCs w:val="24"/>
        </w:rPr>
        <w:t xml:space="preserve"> </w:t>
      </w:r>
      <w:r w:rsidR="00BC1C18">
        <w:rPr>
          <w:sz w:val="24"/>
          <w:szCs w:val="24"/>
        </w:rPr>
        <w:t>that</w:t>
      </w:r>
      <w:r w:rsidRPr="00342E73">
        <w:rPr>
          <w:sz w:val="24"/>
          <w:szCs w:val="24"/>
        </w:rPr>
        <w:t xml:space="preserve"> </w:t>
      </w:r>
      <w:r w:rsidR="00852BF8">
        <w:rPr>
          <w:sz w:val="24"/>
          <w:szCs w:val="24"/>
        </w:rPr>
        <w:t>staff</w:t>
      </w:r>
      <w:r w:rsidR="00852BF8" w:rsidRPr="00342E73">
        <w:rPr>
          <w:sz w:val="24"/>
          <w:szCs w:val="24"/>
        </w:rPr>
        <w:t xml:space="preserve"> </w:t>
      </w:r>
      <w:r w:rsidR="007A7197">
        <w:rPr>
          <w:sz w:val="24"/>
          <w:szCs w:val="24"/>
        </w:rPr>
        <w:t xml:space="preserve">may use </w:t>
      </w:r>
      <w:r w:rsidRPr="00342E73">
        <w:rPr>
          <w:sz w:val="24"/>
          <w:szCs w:val="24"/>
        </w:rPr>
        <w:t xml:space="preserve">in </w:t>
      </w:r>
      <w:r w:rsidR="005D6702">
        <w:rPr>
          <w:sz w:val="24"/>
          <w:szCs w:val="24"/>
        </w:rPr>
        <w:t>making</w:t>
      </w:r>
      <w:r w:rsidR="007A7197" w:rsidRPr="00342E73">
        <w:rPr>
          <w:sz w:val="24"/>
          <w:szCs w:val="24"/>
        </w:rPr>
        <w:t xml:space="preserve"> </w:t>
      </w:r>
      <w:r w:rsidRPr="00342E73">
        <w:rPr>
          <w:sz w:val="24"/>
          <w:szCs w:val="24"/>
        </w:rPr>
        <w:t xml:space="preserve">recommendations for </w:t>
      </w:r>
      <w:r w:rsidR="005D6702">
        <w:rPr>
          <w:sz w:val="24"/>
          <w:szCs w:val="24"/>
        </w:rPr>
        <w:t>a Board’s eligibility to receive awards</w:t>
      </w:r>
      <w:r w:rsidR="0045766D">
        <w:rPr>
          <w:sz w:val="24"/>
          <w:szCs w:val="24"/>
        </w:rPr>
        <w:t>.</w:t>
      </w:r>
    </w:p>
    <w:p w14:paraId="12B1EC51" w14:textId="77777777" w:rsidR="005D6702" w:rsidRPr="008E02E6" w:rsidRDefault="005D6702" w:rsidP="008E02E6">
      <w:pPr>
        <w:spacing w:after="0" w:line="240" w:lineRule="auto"/>
        <w:rPr>
          <w:sz w:val="24"/>
          <w:szCs w:val="24"/>
        </w:rPr>
      </w:pPr>
    </w:p>
    <w:p w14:paraId="762CA260" w14:textId="470A7731" w:rsidR="005D6702" w:rsidRPr="00984ACA" w:rsidRDefault="009B0723" w:rsidP="005D6702">
      <w:pPr>
        <w:pStyle w:val="Caption"/>
        <w:keepNext/>
        <w:rPr>
          <w:color w:val="auto"/>
          <w:sz w:val="24"/>
          <w:szCs w:val="24"/>
        </w:rPr>
      </w:pPr>
      <w:r>
        <w:rPr>
          <w:color w:val="auto"/>
          <w:sz w:val="24"/>
          <w:szCs w:val="24"/>
        </w:rPr>
        <w:t xml:space="preserve">Table 1: </w:t>
      </w:r>
      <w:r w:rsidR="005D6702" w:rsidRPr="00984ACA">
        <w:rPr>
          <w:color w:val="auto"/>
          <w:sz w:val="24"/>
          <w:szCs w:val="24"/>
        </w:rPr>
        <w:t>Corrective Actions as Extraordinary Circumstances for Boards</w:t>
      </w: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944"/>
        <w:gridCol w:w="1944"/>
        <w:gridCol w:w="1944"/>
        <w:gridCol w:w="1944"/>
      </w:tblGrid>
      <w:tr w:rsidR="001D67F7" w:rsidRPr="00342E73" w14:paraId="51112661" w14:textId="77777777" w:rsidTr="005B720D">
        <w:trPr>
          <w:trHeight w:val="445"/>
          <w:tblHeader/>
        </w:trPr>
        <w:tc>
          <w:tcPr>
            <w:tcW w:w="1944" w:type="dxa"/>
            <w:tcMar>
              <w:top w:w="72" w:type="dxa"/>
              <w:left w:w="115" w:type="dxa"/>
              <w:bottom w:w="72" w:type="dxa"/>
              <w:right w:w="115" w:type="dxa"/>
            </w:tcMar>
            <w:vAlign w:val="bottom"/>
          </w:tcPr>
          <w:p w14:paraId="1A738DD4" w14:textId="241272DD" w:rsidR="001D67F7" w:rsidRPr="005D6702" w:rsidRDefault="005D6702" w:rsidP="00A278AD">
            <w:pPr>
              <w:spacing w:after="0"/>
              <w:rPr>
                <w:b/>
                <w:sz w:val="24"/>
                <w:szCs w:val="24"/>
              </w:rPr>
            </w:pPr>
            <w:r w:rsidRPr="005D6702">
              <w:rPr>
                <w:b/>
                <w:sz w:val="24"/>
                <w:szCs w:val="24"/>
              </w:rPr>
              <w:t>Type of Corrective Action</w:t>
            </w:r>
          </w:p>
        </w:tc>
        <w:tc>
          <w:tcPr>
            <w:tcW w:w="1944" w:type="dxa"/>
            <w:vAlign w:val="bottom"/>
          </w:tcPr>
          <w:p w14:paraId="72385D4E" w14:textId="5731C0E5" w:rsidR="001D67F7" w:rsidRPr="00342E73" w:rsidRDefault="005D6702" w:rsidP="00A278AD">
            <w:pPr>
              <w:spacing w:after="0"/>
              <w:rPr>
                <w:b/>
                <w:sz w:val="24"/>
                <w:szCs w:val="24"/>
              </w:rPr>
            </w:pPr>
            <w:r>
              <w:rPr>
                <w:b/>
                <w:sz w:val="24"/>
                <w:szCs w:val="24"/>
              </w:rPr>
              <w:t>Reason(s) for Corrective Action</w:t>
            </w:r>
          </w:p>
        </w:tc>
        <w:tc>
          <w:tcPr>
            <w:tcW w:w="1944" w:type="dxa"/>
            <w:tcMar>
              <w:top w:w="72" w:type="dxa"/>
              <w:left w:w="115" w:type="dxa"/>
              <w:bottom w:w="72" w:type="dxa"/>
              <w:right w:w="115" w:type="dxa"/>
            </w:tcMar>
            <w:vAlign w:val="bottom"/>
          </w:tcPr>
          <w:p w14:paraId="5E14CA5E" w14:textId="733C7A9A" w:rsidR="001D67F7" w:rsidRPr="00342E73" w:rsidRDefault="001D67F7" w:rsidP="00A278AD">
            <w:pPr>
              <w:spacing w:after="0"/>
              <w:rPr>
                <w:b/>
                <w:sz w:val="24"/>
                <w:szCs w:val="24"/>
              </w:rPr>
            </w:pPr>
            <w:r w:rsidRPr="00342E73">
              <w:rPr>
                <w:b/>
                <w:sz w:val="24"/>
                <w:szCs w:val="24"/>
              </w:rPr>
              <w:t>Board Status:</w:t>
            </w:r>
            <w:r w:rsidRPr="00342E73">
              <w:rPr>
                <w:b/>
                <w:sz w:val="24"/>
                <w:szCs w:val="24"/>
              </w:rPr>
              <w:br/>
            </w:r>
            <w:r>
              <w:rPr>
                <w:b/>
                <w:sz w:val="24"/>
                <w:szCs w:val="24"/>
              </w:rPr>
              <w:t xml:space="preserve">TAP </w:t>
            </w:r>
          </w:p>
        </w:tc>
        <w:tc>
          <w:tcPr>
            <w:tcW w:w="1944" w:type="dxa"/>
            <w:tcMar>
              <w:top w:w="72" w:type="dxa"/>
              <w:left w:w="115" w:type="dxa"/>
              <w:bottom w:w="72" w:type="dxa"/>
              <w:right w:w="115" w:type="dxa"/>
            </w:tcMar>
            <w:vAlign w:val="bottom"/>
          </w:tcPr>
          <w:p w14:paraId="5EA45582" w14:textId="77777777" w:rsidR="001D67F7" w:rsidRPr="00342E73" w:rsidRDefault="001D67F7" w:rsidP="00A278AD">
            <w:pPr>
              <w:spacing w:after="0"/>
              <w:rPr>
                <w:b/>
                <w:sz w:val="24"/>
                <w:szCs w:val="24"/>
              </w:rPr>
            </w:pPr>
            <w:r w:rsidRPr="00342E73">
              <w:rPr>
                <w:b/>
                <w:sz w:val="24"/>
                <w:szCs w:val="24"/>
              </w:rPr>
              <w:t>Board Status:</w:t>
            </w:r>
            <w:r w:rsidRPr="00342E73">
              <w:rPr>
                <w:b/>
                <w:sz w:val="24"/>
                <w:szCs w:val="24"/>
              </w:rPr>
              <w:br/>
              <w:t>Intent to Sanction</w:t>
            </w:r>
          </w:p>
        </w:tc>
        <w:tc>
          <w:tcPr>
            <w:tcW w:w="1944" w:type="dxa"/>
            <w:tcMar>
              <w:top w:w="72" w:type="dxa"/>
              <w:left w:w="115" w:type="dxa"/>
              <w:bottom w:w="72" w:type="dxa"/>
              <w:right w:w="115" w:type="dxa"/>
            </w:tcMar>
            <w:vAlign w:val="bottom"/>
          </w:tcPr>
          <w:p w14:paraId="61714281" w14:textId="77777777" w:rsidR="001D67F7" w:rsidRPr="00342E73" w:rsidRDefault="001D67F7" w:rsidP="00A278AD">
            <w:pPr>
              <w:spacing w:after="0"/>
              <w:rPr>
                <w:b/>
                <w:sz w:val="24"/>
                <w:szCs w:val="24"/>
              </w:rPr>
            </w:pPr>
            <w:r w:rsidRPr="00342E73">
              <w:rPr>
                <w:b/>
                <w:sz w:val="24"/>
                <w:szCs w:val="24"/>
              </w:rPr>
              <w:t xml:space="preserve">Board Status: </w:t>
            </w:r>
            <w:r w:rsidRPr="00342E73">
              <w:rPr>
                <w:b/>
                <w:sz w:val="24"/>
                <w:szCs w:val="24"/>
              </w:rPr>
              <w:br/>
              <w:t>Level 1 Sanction or Higher</w:t>
            </w:r>
          </w:p>
        </w:tc>
      </w:tr>
      <w:tr w:rsidR="001D67F7" w:rsidRPr="00342E73" w14:paraId="76C851D3" w14:textId="77777777" w:rsidTr="005B720D">
        <w:trPr>
          <w:trHeight w:val="288"/>
        </w:trPr>
        <w:tc>
          <w:tcPr>
            <w:tcW w:w="1944" w:type="dxa"/>
            <w:tcMar>
              <w:top w:w="72" w:type="dxa"/>
              <w:left w:w="115" w:type="dxa"/>
              <w:bottom w:w="72" w:type="dxa"/>
              <w:right w:w="115" w:type="dxa"/>
            </w:tcMar>
            <w:vAlign w:val="center"/>
          </w:tcPr>
          <w:p w14:paraId="19FA3713" w14:textId="59094FDD" w:rsidR="001D67F7" w:rsidRPr="00342E73" w:rsidRDefault="001D67F7" w:rsidP="00A278AD">
            <w:pPr>
              <w:spacing w:after="0"/>
              <w:rPr>
                <w:b/>
                <w:sz w:val="24"/>
                <w:szCs w:val="24"/>
              </w:rPr>
            </w:pPr>
            <w:r w:rsidRPr="00342E73">
              <w:rPr>
                <w:b/>
                <w:sz w:val="24"/>
                <w:szCs w:val="24"/>
              </w:rPr>
              <w:t>Program- Specific Corrective Actions</w:t>
            </w:r>
          </w:p>
        </w:tc>
        <w:tc>
          <w:tcPr>
            <w:tcW w:w="1944" w:type="dxa"/>
          </w:tcPr>
          <w:p w14:paraId="451F52D6" w14:textId="77777777" w:rsidR="005D6702" w:rsidRPr="005D6702" w:rsidRDefault="005D6702" w:rsidP="005B720D">
            <w:pPr>
              <w:pStyle w:val="ListParagraph"/>
              <w:numPr>
                <w:ilvl w:val="0"/>
                <w:numId w:val="37"/>
              </w:numPr>
              <w:spacing w:after="0" w:line="240" w:lineRule="auto"/>
              <w:ind w:left="198" w:hanging="211"/>
              <w:rPr>
                <w:sz w:val="24"/>
                <w:szCs w:val="24"/>
              </w:rPr>
            </w:pPr>
            <w:r w:rsidRPr="005D6702">
              <w:rPr>
                <w:sz w:val="24"/>
                <w:szCs w:val="24"/>
              </w:rPr>
              <w:t>Performance measure failure</w:t>
            </w:r>
          </w:p>
          <w:p w14:paraId="5DB9C29E" w14:textId="77777777" w:rsidR="005D6702" w:rsidRPr="005D6702" w:rsidRDefault="005D6702" w:rsidP="005B720D">
            <w:pPr>
              <w:pStyle w:val="ListParagraph"/>
              <w:numPr>
                <w:ilvl w:val="0"/>
                <w:numId w:val="37"/>
              </w:numPr>
              <w:spacing w:after="0" w:line="240" w:lineRule="auto"/>
              <w:ind w:left="198" w:hanging="211"/>
              <w:rPr>
                <w:sz w:val="24"/>
                <w:szCs w:val="24"/>
              </w:rPr>
            </w:pPr>
            <w:r w:rsidRPr="005D6702">
              <w:rPr>
                <w:sz w:val="24"/>
                <w:szCs w:val="24"/>
              </w:rPr>
              <w:t>Customers served/cost per issues</w:t>
            </w:r>
          </w:p>
          <w:p w14:paraId="3A6C104C" w14:textId="77777777" w:rsidR="005D6702" w:rsidRPr="005D6702" w:rsidRDefault="005D6702" w:rsidP="005B720D">
            <w:pPr>
              <w:pStyle w:val="ListParagraph"/>
              <w:numPr>
                <w:ilvl w:val="0"/>
                <w:numId w:val="37"/>
              </w:numPr>
              <w:spacing w:after="0" w:line="240" w:lineRule="auto"/>
              <w:ind w:left="198" w:hanging="211"/>
              <w:rPr>
                <w:sz w:val="24"/>
                <w:szCs w:val="24"/>
              </w:rPr>
            </w:pPr>
            <w:r w:rsidRPr="005D6702">
              <w:rPr>
                <w:sz w:val="24"/>
                <w:szCs w:val="24"/>
              </w:rPr>
              <w:t>Program repeat monitoring findings</w:t>
            </w:r>
          </w:p>
          <w:p w14:paraId="476EDF8F" w14:textId="77777777" w:rsidR="001D67F7" w:rsidRPr="00342E73" w:rsidRDefault="001D67F7" w:rsidP="00A278AD">
            <w:pPr>
              <w:spacing w:after="0"/>
              <w:rPr>
                <w:sz w:val="24"/>
                <w:szCs w:val="24"/>
              </w:rPr>
            </w:pPr>
          </w:p>
        </w:tc>
        <w:tc>
          <w:tcPr>
            <w:tcW w:w="1944" w:type="dxa"/>
            <w:tcMar>
              <w:top w:w="72" w:type="dxa"/>
              <w:left w:w="115" w:type="dxa"/>
              <w:bottom w:w="72" w:type="dxa"/>
              <w:right w:w="115" w:type="dxa"/>
            </w:tcMar>
            <w:vAlign w:val="center"/>
          </w:tcPr>
          <w:p w14:paraId="2F1F9398" w14:textId="776060CF" w:rsidR="001D67F7" w:rsidRPr="00342E73" w:rsidRDefault="001D67F7" w:rsidP="00A278AD">
            <w:pPr>
              <w:spacing w:after="0"/>
              <w:rPr>
                <w:sz w:val="24"/>
                <w:szCs w:val="24"/>
              </w:rPr>
            </w:pPr>
            <w:r w:rsidRPr="00342E73">
              <w:rPr>
                <w:sz w:val="24"/>
                <w:szCs w:val="24"/>
              </w:rPr>
              <w:t>Not eligible for program-related award in program addressed by TAP</w:t>
            </w:r>
          </w:p>
          <w:p w14:paraId="696DF0D4" w14:textId="0D554BCF" w:rsidR="001D67F7" w:rsidRPr="00342E73" w:rsidRDefault="005B720D" w:rsidP="005B720D">
            <w:pPr>
              <w:spacing w:after="0"/>
              <w:jc w:val="center"/>
              <w:rPr>
                <w:sz w:val="24"/>
                <w:szCs w:val="24"/>
              </w:rPr>
            </w:pPr>
            <w:r>
              <w:rPr>
                <w:sz w:val="24"/>
                <w:szCs w:val="24"/>
              </w:rPr>
              <w:t>--------------------</w:t>
            </w:r>
          </w:p>
          <w:p w14:paraId="39BCE136" w14:textId="558EA8E0" w:rsidR="001D67F7" w:rsidRPr="00342E73" w:rsidRDefault="001D67F7" w:rsidP="00A278AD">
            <w:pPr>
              <w:spacing w:after="0"/>
              <w:rPr>
                <w:sz w:val="24"/>
                <w:szCs w:val="24"/>
              </w:rPr>
            </w:pPr>
            <w:r w:rsidRPr="00342E73">
              <w:rPr>
                <w:sz w:val="24"/>
                <w:szCs w:val="24"/>
              </w:rPr>
              <w:t xml:space="preserve">Eligible for other </w:t>
            </w:r>
            <w:r>
              <w:rPr>
                <w:sz w:val="24"/>
                <w:szCs w:val="24"/>
              </w:rPr>
              <w:t>Workforce A</w:t>
            </w:r>
            <w:r w:rsidRPr="00342E73">
              <w:rPr>
                <w:sz w:val="24"/>
                <w:szCs w:val="24"/>
              </w:rPr>
              <w:t>wards</w:t>
            </w:r>
          </w:p>
        </w:tc>
        <w:tc>
          <w:tcPr>
            <w:tcW w:w="1944" w:type="dxa"/>
            <w:tcMar>
              <w:top w:w="72" w:type="dxa"/>
              <w:left w:w="115" w:type="dxa"/>
              <w:bottom w:w="72" w:type="dxa"/>
              <w:right w:w="115" w:type="dxa"/>
            </w:tcMar>
            <w:vAlign w:val="center"/>
          </w:tcPr>
          <w:p w14:paraId="1E18B98C" w14:textId="77777777" w:rsidR="001D67F7" w:rsidRPr="00342E73" w:rsidRDefault="001D67F7" w:rsidP="00A278AD">
            <w:pPr>
              <w:spacing w:after="0"/>
              <w:rPr>
                <w:sz w:val="24"/>
                <w:szCs w:val="24"/>
              </w:rPr>
            </w:pPr>
            <w:r w:rsidRPr="00342E73">
              <w:rPr>
                <w:sz w:val="24"/>
                <w:szCs w:val="24"/>
              </w:rPr>
              <w:t>Not eligible for program-related award in program addressed by Intent to Sanction</w:t>
            </w:r>
          </w:p>
          <w:p w14:paraId="3592FD09" w14:textId="2C5A7687" w:rsidR="001D67F7" w:rsidRPr="00342E73" w:rsidRDefault="005B720D" w:rsidP="005B720D">
            <w:pPr>
              <w:spacing w:after="0"/>
              <w:jc w:val="center"/>
              <w:rPr>
                <w:sz w:val="24"/>
                <w:szCs w:val="24"/>
              </w:rPr>
            </w:pPr>
            <w:r>
              <w:rPr>
                <w:sz w:val="24"/>
                <w:szCs w:val="24"/>
              </w:rPr>
              <w:t>--------------------</w:t>
            </w:r>
          </w:p>
          <w:p w14:paraId="63021F8E" w14:textId="38FFD292" w:rsidR="001D67F7" w:rsidRPr="00342E73" w:rsidRDefault="001D67F7" w:rsidP="00A278AD">
            <w:pPr>
              <w:spacing w:after="0"/>
              <w:rPr>
                <w:sz w:val="24"/>
                <w:szCs w:val="24"/>
              </w:rPr>
            </w:pPr>
            <w:r w:rsidRPr="00342E73">
              <w:rPr>
                <w:sz w:val="24"/>
                <w:szCs w:val="24"/>
              </w:rPr>
              <w:t xml:space="preserve">Eligible for other </w:t>
            </w:r>
            <w:r>
              <w:rPr>
                <w:sz w:val="24"/>
                <w:szCs w:val="24"/>
              </w:rPr>
              <w:t>Workforce A</w:t>
            </w:r>
            <w:r w:rsidRPr="00342E73">
              <w:rPr>
                <w:sz w:val="24"/>
                <w:szCs w:val="24"/>
              </w:rPr>
              <w:t>wards</w:t>
            </w:r>
          </w:p>
        </w:tc>
        <w:tc>
          <w:tcPr>
            <w:tcW w:w="1944" w:type="dxa"/>
            <w:tcMar>
              <w:top w:w="72" w:type="dxa"/>
              <w:left w:w="115" w:type="dxa"/>
              <w:bottom w:w="72" w:type="dxa"/>
              <w:right w:w="115" w:type="dxa"/>
            </w:tcMar>
            <w:vAlign w:val="center"/>
          </w:tcPr>
          <w:p w14:paraId="638169E5" w14:textId="788FF04D" w:rsidR="001D67F7" w:rsidRPr="00342E73" w:rsidRDefault="001D67F7" w:rsidP="00A278AD">
            <w:pPr>
              <w:spacing w:after="0"/>
              <w:rPr>
                <w:sz w:val="24"/>
                <w:szCs w:val="24"/>
              </w:rPr>
            </w:pPr>
            <w:r w:rsidRPr="00342E73">
              <w:rPr>
                <w:sz w:val="24"/>
                <w:szCs w:val="24"/>
              </w:rPr>
              <w:t xml:space="preserve">Not eligible for any </w:t>
            </w:r>
            <w:r>
              <w:rPr>
                <w:sz w:val="24"/>
                <w:szCs w:val="24"/>
              </w:rPr>
              <w:t>Workforce A</w:t>
            </w:r>
            <w:r w:rsidRPr="00342E73">
              <w:rPr>
                <w:sz w:val="24"/>
                <w:szCs w:val="24"/>
              </w:rPr>
              <w:t>wards</w:t>
            </w:r>
            <w:r w:rsidR="001F7458">
              <w:rPr>
                <w:sz w:val="24"/>
                <w:szCs w:val="24"/>
              </w:rPr>
              <w:t>, including AEL PQI Awards</w:t>
            </w:r>
          </w:p>
        </w:tc>
      </w:tr>
      <w:tr w:rsidR="001D67F7" w:rsidRPr="00342E73" w14:paraId="55F9A945" w14:textId="77777777" w:rsidTr="005B720D">
        <w:trPr>
          <w:trHeight w:val="288"/>
        </w:trPr>
        <w:tc>
          <w:tcPr>
            <w:tcW w:w="1944" w:type="dxa"/>
            <w:tcMar>
              <w:top w:w="72" w:type="dxa"/>
              <w:left w:w="115" w:type="dxa"/>
              <w:bottom w:w="72" w:type="dxa"/>
              <w:right w:w="115" w:type="dxa"/>
            </w:tcMar>
            <w:vAlign w:val="center"/>
          </w:tcPr>
          <w:p w14:paraId="7DF81179" w14:textId="77777777" w:rsidR="001D67F7" w:rsidRPr="00342E73" w:rsidRDefault="001D67F7" w:rsidP="00A278AD">
            <w:pPr>
              <w:spacing w:after="0"/>
              <w:rPr>
                <w:b/>
                <w:sz w:val="24"/>
                <w:szCs w:val="24"/>
              </w:rPr>
            </w:pPr>
            <w:r w:rsidRPr="00342E73">
              <w:rPr>
                <w:b/>
                <w:sz w:val="24"/>
                <w:szCs w:val="24"/>
              </w:rPr>
              <w:t>Administrative Process Corrective Actions</w:t>
            </w:r>
          </w:p>
        </w:tc>
        <w:tc>
          <w:tcPr>
            <w:tcW w:w="1944" w:type="dxa"/>
          </w:tcPr>
          <w:p w14:paraId="611ED79D" w14:textId="77777777" w:rsidR="005D6702" w:rsidRPr="00342E73" w:rsidRDefault="005D6702" w:rsidP="005B720D">
            <w:pPr>
              <w:pStyle w:val="ListParagraph"/>
              <w:numPr>
                <w:ilvl w:val="0"/>
                <w:numId w:val="37"/>
              </w:numPr>
              <w:spacing w:after="0" w:line="240" w:lineRule="auto"/>
              <w:ind w:left="198" w:hanging="211"/>
              <w:rPr>
                <w:sz w:val="24"/>
                <w:szCs w:val="24"/>
              </w:rPr>
            </w:pPr>
            <w:r w:rsidRPr="00342E73">
              <w:rPr>
                <w:sz w:val="24"/>
                <w:szCs w:val="24"/>
              </w:rPr>
              <w:t>Procurement issues</w:t>
            </w:r>
          </w:p>
          <w:p w14:paraId="774280AB" w14:textId="77777777" w:rsidR="005D6702" w:rsidRPr="00342E73" w:rsidRDefault="005D6702" w:rsidP="005B720D">
            <w:pPr>
              <w:pStyle w:val="ListParagraph"/>
              <w:numPr>
                <w:ilvl w:val="0"/>
                <w:numId w:val="37"/>
              </w:numPr>
              <w:spacing w:after="0" w:line="240" w:lineRule="auto"/>
              <w:ind w:left="198" w:hanging="211"/>
              <w:rPr>
                <w:sz w:val="24"/>
                <w:szCs w:val="24"/>
              </w:rPr>
            </w:pPr>
            <w:r w:rsidRPr="00342E73">
              <w:rPr>
                <w:sz w:val="24"/>
                <w:szCs w:val="24"/>
              </w:rPr>
              <w:t>Cost allocation issues</w:t>
            </w:r>
          </w:p>
          <w:p w14:paraId="4D4F09C5" w14:textId="77777777" w:rsidR="005D6702" w:rsidRPr="00342E73" w:rsidRDefault="005D6702" w:rsidP="005B720D">
            <w:pPr>
              <w:pStyle w:val="ListParagraph"/>
              <w:numPr>
                <w:ilvl w:val="0"/>
                <w:numId w:val="37"/>
              </w:numPr>
              <w:spacing w:after="0" w:line="240" w:lineRule="auto"/>
              <w:ind w:left="198" w:hanging="211"/>
              <w:rPr>
                <w:sz w:val="24"/>
                <w:szCs w:val="24"/>
              </w:rPr>
            </w:pPr>
            <w:r w:rsidRPr="00342E73">
              <w:rPr>
                <w:sz w:val="24"/>
                <w:szCs w:val="24"/>
              </w:rPr>
              <w:t>Data security issues</w:t>
            </w:r>
          </w:p>
          <w:p w14:paraId="6C36A8E6" w14:textId="77777777" w:rsidR="005D6702" w:rsidRPr="00342E73" w:rsidRDefault="005D6702" w:rsidP="005B720D">
            <w:pPr>
              <w:pStyle w:val="ListParagraph"/>
              <w:numPr>
                <w:ilvl w:val="0"/>
                <w:numId w:val="37"/>
              </w:numPr>
              <w:spacing w:after="0" w:line="240" w:lineRule="auto"/>
              <w:ind w:left="198" w:hanging="211"/>
              <w:rPr>
                <w:sz w:val="24"/>
                <w:szCs w:val="24"/>
              </w:rPr>
            </w:pPr>
            <w:r w:rsidRPr="00342E73">
              <w:rPr>
                <w:sz w:val="24"/>
                <w:szCs w:val="24"/>
              </w:rPr>
              <w:t>IT security issues</w:t>
            </w:r>
          </w:p>
          <w:p w14:paraId="07FA73B3" w14:textId="77777777" w:rsidR="005D6702" w:rsidRPr="00342E73" w:rsidRDefault="005D6702" w:rsidP="005B720D">
            <w:pPr>
              <w:pStyle w:val="ListParagraph"/>
              <w:numPr>
                <w:ilvl w:val="0"/>
                <w:numId w:val="37"/>
              </w:numPr>
              <w:spacing w:after="0" w:line="240" w:lineRule="auto"/>
              <w:ind w:left="198" w:hanging="211"/>
              <w:rPr>
                <w:sz w:val="24"/>
                <w:szCs w:val="24"/>
              </w:rPr>
            </w:pPr>
            <w:r w:rsidRPr="00342E73">
              <w:rPr>
                <w:sz w:val="24"/>
                <w:szCs w:val="24"/>
              </w:rPr>
              <w:t>Open records issues</w:t>
            </w:r>
          </w:p>
          <w:p w14:paraId="2E353C1F" w14:textId="77777777" w:rsidR="005D6702" w:rsidRPr="00342E73" w:rsidRDefault="005D6702" w:rsidP="005B720D">
            <w:pPr>
              <w:pStyle w:val="ListParagraph"/>
              <w:numPr>
                <w:ilvl w:val="0"/>
                <w:numId w:val="37"/>
              </w:numPr>
              <w:spacing w:after="0" w:line="240" w:lineRule="auto"/>
              <w:ind w:left="198" w:hanging="211"/>
              <w:rPr>
                <w:sz w:val="24"/>
                <w:szCs w:val="24"/>
              </w:rPr>
            </w:pPr>
            <w:r w:rsidRPr="00342E73">
              <w:rPr>
                <w:sz w:val="24"/>
                <w:szCs w:val="24"/>
              </w:rPr>
              <w:t>Board membership issues</w:t>
            </w:r>
          </w:p>
          <w:p w14:paraId="4B503D8A" w14:textId="67C7E16C" w:rsidR="005D6702" w:rsidRPr="00342E73" w:rsidRDefault="005D6702" w:rsidP="005B720D">
            <w:pPr>
              <w:pStyle w:val="ListParagraph"/>
              <w:numPr>
                <w:ilvl w:val="0"/>
                <w:numId w:val="37"/>
              </w:numPr>
              <w:spacing w:after="0" w:line="240" w:lineRule="auto"/>
              <w:ind w:left="198" w:hanging="211"/>
              <w:rPr>
                <w:sz w:val="24"/>
                <w:szCs w:val="24"/>
              </w:rPr>
            </w:pPr>
            <w:r w:rsidRPr="00342E73">
              <w:rPr>
                <w:sz w:val="24"/>
                <w:szCs w:val="24"/>
              </w:rPr>
              <w:t>Accurate financial reporting (CDER) issues</w:t>
            </w:r>
          </w:p>
          <w:p w14:paraId="5CAB5224" w14:textId="77777777" w:rsidR="001D67F7" w:rsidRPr="00342E73" w:rsidRDefault="001D67F7" w:rsidP="00A278AD">
            <w:pPr>
              <w:spacing w:after="0"/>
              <w:rPr>
                <w:sz w:val="24"/>
                <w:szCs w:val="24"/>
              </w:rPr>
            </w:pPr>
          </w:p>
        </w:tc>
        <w:tc>
          <w:tcPr>
            <w:tcW w:w="1944" w:type="dxa"/>
            <w:tcMar>
              <w:top w:w="72" w:type="dxa"/>
              <w:left w:w="115" w:type="dxa"/>
              <w:bottom w:w="72" w:type="dxa"/>
              <w:right w:w="115" w:type="dxa"/>
            </w:tcMar>
            <w:vAlign w:val="center"/>
          </w:tcPr>
          <w:p w14:paraId="30C338AF" w14:textId="03833C42" w:rsidR="001D67F7" w:rsidRPr="00342E73" w:rsidRDefault="001D67F7" w:rsidP="00A278AD">
            <w:pPr>
              <w:spacing w:after="0"/>
              <w:rPr>
                <w:sz w:val="24"/>
                <w:szCs w:val="24"/>
              </w:rPr>
            </w:pPr>
            <w:r w:rsidRPr="00342E73">
              <w:rPr>
                <w:sz w:val="24"/>
                <w:szCs w:val="24"/>
              </w:rPr>
              <w:t xml:space="preserve">Eligible for all </w:t>
            </w:r>
            <w:r>
              <w:rPr>
                <w:sz w:val="24"/>
                <w:szCs w:val="24"/>
              </w:rPr>
              <w:t>Workforce A</w:t>
            </w:r>
            <w:r w:rsidRPr="00342E73">
              <w:rPr>
                <w:sz w:val="24"/>
                <w:szCs w:val="24"/>
              </w:rPr>
              <w:t>wards</w:t>
            </w:r>
          </w:p>
        </w:tc>
        <w:tc>
          <w:tcPr>
            <w:tcW w:w="1944" w:type="dxa"/>
            <w:tcMar>
              <w:top w:w="72" w:type="dxa"/>
              <w:left w:w="115" w:type="dxa"/>
              <w:bottom w:w="72" w:type="dxa"/>
              <w:right w:w="115" w:type="dxa"/>
            </w:tcMar>
            <w:vAlign w:val="center"/>
          </w:tcPr>
          <w:p w14:paraId="4C625070" w14:textId="77777777" w:rsidR="001D67F7" w:rsidRPr="00342E73" w:rsidRDefault="001D67F7" w:rsidP="00A278AD">
            <w:pPr>
              <w:spacing w:after="0"/>
              <w:rPr>
                <w:sz w:val="24"/>
                <w:szCs w:val="24"/>
              </w:rPr>
            </w:pPr>
            <w:r w:rsidRPr="00342E73">
              <w:rPr>
                <w:sz w:val="24"/>
                <w:szCs w:val="24"/>
              </w:rPr>
              <w:t>Not eligible for program-related award in program addressed by Intent to Sanction</w:t>
            </w:r>
          </w:p>
          <w:p w14:paraId="72B4C1BC" w14:textId="0CFC0DE4" w:rsidR="001D67F7" w:rsidRPr="00342E73" w:rsidRDefault="005B720D" w:rsidP="00C03F85">
            <w:pPr>
              <w:spacing w:after="0"/>
              <w:jc w:val="center"/>
              <w:rPr>
                <w:sz w:val="24"/>
                <w:szCs w:val="24"/>
              </w:rPr>
            </w:pPr>
            <w:r>
              <w:rPr>
                <w:sz w:val="24"/>
                <w:szCs w:val="24"/>
              </w:rPr>
              <w:t>--------------------</w:t>
            </w:r>
          </w:p>
          <w:p w14:paraId="1B793C77" w14:textId="44F0FC9A" w:rsidR="001D67F7" w:rsidRPr="00342E73" w:rsidRDefault="001D67F7" w:rsidP="00A278AD">
            <w:pPr>
              <w:spacing w:after="0"/>
              <w:rPr>
                <w:sz w:val="24"/>
                <w:szCs w:val="24"/>
              </w:rPr>
            </w:pPr>
            <w:r w:rsidRPr="00342E73">
              <w:rPr>
                <w:sz w:val="24"/>
                <w:szCs w:val="24"/>
              </w:rPr>
              <w:t xml:space="preserve">Eligible for other </w:t>
            </w:r>
            <w:r>
              <w:rPr>
                <w:sz w:val="24"/>
                <w:szCs w:val="24"/>
              </w:rPr>
              <w:t>Workforce A</w:t>
            </w:r>
            <w:r w:rsidRPr="00342E73">
              <w:rPr>
                <w:sz w:val="24"/>
                <w:szCs w:val="24"/>
              </w:rPr>
              <w:t>wards</w:t>
            </w:r>
          </w:p>
        </w:tc>
        <w:tc>
          <w:tcPr>
            <w:tcW w:w="1944" w:type="dxa"/>
            <w:tcMar>
              <w:top w:w="72" w:type="dxa"/>
              <w:left w:w="115" w:type="dxa"/>
              <w:bottom w:w="72" w:type="dxa"/>
              <w:right w:w="115" w:type="dxa"/>
            </w:tcMar>
            <w:vAlign w:val="center"/>
          </w:tcPr>
          <w:p w14:paraId="15115BC1" w14:textId="71509373" w:rsidR="001D67F7" w:rsidRPr="00342E73" w:rsidRDefault="001D67F7" w:rsidP="00A278AD">
            <w:pPr>
              <w:spacing w:after="0"/>
              <w:rPr>
                <w:sz w:val="24"/>
                <w:szCs w:val="24"/>
              </w:rPr>
            </w:pPr>
            <w:r w:rsidRPr="00342E73">
              <w:rPr>
                <w:sz w:val="24"/>
                <w:szCs w:val="24"/>
              </w:rPr>
              <w:t xml:space="preserve">Not eligible for any </w:t>
            </w:r>
            <w:r>
              <w:rPr>
                <w:sz w:val="24"/>
                <w:szCs w:val="24"/>
              </w:rPr>
              <w:t>Workforce A</w:t>
            </w:r>
            <w:r w:rsidRPr="00342E73">
              <w:rPr>
                <w:sz w:val="24"/>
                <w:szCs w:val="24"/>
              </w:rPr>
              <w:t>wards</w:t>
            </w:r>
            <w:r w:rsidR="001F7458">
              <w:rPr>
                <w:sz w:val="24"/>
                <w:szCs w:val="24"/>
              </w:rPr>
              <w:t>, including AEL PQI Awards</w:t>
            </w:r>
          </w:p>
        </w:tc>
      </w:tr>
      <w:tr w:rsidR="001D67F7" w:rsidRPr="00342E73" w14:paraId="3EFEEC71" w14:textId="77777777" w:rsidTr="005B720D">
        <w:trPr>
          <w:trHeight w:val="288"/>
        </w:trPr>
        <w:tc>
          <w:tcPr>
            <w:tcW w:w="1944" w:type="dxa"/>
            <w:tcMar>
              <w:top w:w="72" w:type="dxa"/>
              <w:left w:w="115" w:type="dxa"/>
              <w:bottom w:w="72" w:type="dxa"/>
              <w:right w:w="115" w:type="dxa"/>
            </w:tcMar>
            <w:vAlign w:val="center"/>
          </w:tcPr>
          <w:p w14:paraId="65DF91B5" w14:textId="77777777" w:rsidR="001D67F7" w:rsidRPr="00342E73" w:rsidRDefault="001D67F7" w:rsidP="00A278AD">
            <w:pPr>
              <w:spacing w:after="0"/>
              <w:rPr>
                <w:b/>
                <w:sz w:val="24"/>
                <w:szCs w:val="24"/>
              </w:rPr>
            </w:pPr>
            <w:r w:rsidRPr="00342E73">
              <w:rPr>
                <w:b/>
                <w:sz w:val="24"/>
                <w:szCs w:val="24"/>
              </w:rPr>
              <w:t>Board Oversight Corrective Actions</w:t>
            </w:r>
          </w:p>
        </w:tc>
        <w:tc>
          <w:tcPr>
            <w:tcW w:w="1944" w:type="dxa"/>
          </w:tcPr>
          <w:p w14:paraId="42654A73" w14:textId="77777777" w:rsidR="005D6702" w:rsidRPr="00342E73" w:rsidRDefault="005D6702" w:rsidP="005B720D">
            <w:pPr>
              <w:pStyle w:val="ListParagraph"/>
              <w:numPr>
                <w:ilvl w:val="0"/>
                <w:numId w:val="37"/>
              </w:numPr>
              <w:spacing w:after="0" w:line="240" w:lineRule="auto"/>
              <w:ind w:left="198" w:hanging="211"/>
              <w:rPr>
                <w:sz w:val="24"/>
                <w:szCs w:val="24"/>
              </w:rPr>
            </w:pPr>
            <w:r w:rsidRPr="00342E73">
              <w:rPr>
                <w:sz w:val="24"/>
                <w:szCs w:val="24"/>
              </w:rPr>
              <w:t>Poor expenditure management, which jeopardizes service delivery</w:t>
            </w:r>
          </w:p>
          <w:p w14:paraId="42E5E389" w14:textId="77777777" w:rsidR="005D6702" w:rsidRPr="00342E73" w:rsidRDefault="005D6702" w:rsidP="005B720D">
            <w:pPr>
              <w:pStyle w:val="ListParagraph"/>
              <w:numPr>
                <w:ilvl w:val="0"/>
                <w:numId w:val="37"/>
              </w:numPr>
              <w:spacing w:after="0" w:line="240" w:lineRule="auto"/>
              <w:ind w:left="198" w:hanging="211"/>
              <w:rPr>
                <w:sz w:val="24"/>
                <w:szCs w:val="24"/>
              </w:rPr>
            </w:pPr>
            <w:r w:rsidRPr="00342E73">
              <w:rPr>
                <w:sz w:val="24"/>
                <w:szCs w:val="24"/>
              </w:rPr>
              <w:t>Poor fiscal oversight</w:t>
            </w:r>
          </w:p>
          <w:p w14:paraId="0856DCBC" w14:textId="77777777" w:rsidR="005D6702" w:rsidRPr="00342E73" w:rsidRDefault="005D6702" w:rsidP="005B720D">
            <w:pPr>
              <w:pStyle w:val="ListParagraph"/>
              <w:numPr>
                <w:ilvl w:val="0"/>
                <w:numId w:val="37"/>
              </w:numPr>
              <w:spacing w:after="0" w:line="240" w:lineRule="auto"/>
              <w:ind w:left="198" w:hanging="211"/>
              <w:rPr>
                <w:sz w:val="24"/>
                <w:szCs w:val="24"/>
              </w:rPr>
            </w:pPr>
            <w:r w:rsidRPr="00342E73">
              <w:rPr>
                <w:sz w:val="24"/>
                <w:szCs w:val="24"/>
              </w:rPr>
              <w:t>Overarching concerns regarding poor program management</w:t>
            </w:r>
          </w:p>
          <w:p w14:paraId="16D4BA36" w14:textId="77777777" w:rsidR="001D67F7" w:rsidRPr="00342E73" w:rsidRDefault="001D67F7" w:rsidP="00A278AD">
            <w:pPr>
              <w:spacing w:after="0"/>
              <w:rPr>
                <w:sz w:val="24"/>
                <w:szCs w:val="24"/>
              </w:rPr>
            </w:pPr>
          </w:p>
        </w:tc>
        <w:tc>
          <w:tcPr>
            <w:tcW w:w="1944" w:type="dxa"/>
            <w:tcMar>
              <w:top w:w="72" w:type="dxa"/>
              <w:left w:w="115" w:type="dxa"/>
              <w:bottom w:w="72" w:type="dxa"/>
              <w:right w:w="115" w:type="dxa"/>
            </w:tcMar>
            <w:vAlign w:val="center"/>
          </w:tcPr>
          <w:p w14:paraId="4CE5BE32" w14:textId="2876DDC3" w:rsidR="001D67F7" w:rsidRPr="00342E73" w:rsidRDefault="001D67F7" w:rsidP="00A278AD">
            <w:pPr>
              <w:spacing w:after="0"/>
              <w:rPr>
                <w:sz w:val="24"/>
                <w:szCs w:val="24"/>
              </w:rPr>
            </w:pPr>
            <w:r w:rsidRPr="00342E73">
              <w:rPr>
                <w:sz w:val="24"/>
                <w:szCs w:val="24"/>
              </w:rPr>
              <w:t xml:space="preserve">Not eligible for any </w:t>
            </w:r>
            <w:r>
              <w:rPr>
                <w:sz w:val="24"/>
                <w:szCs w:val="24"/>
              </w:rPr>
              <w:t>Workforce A</w:t>
            </w:r>
            <w:r w:rsidRPr="00342E73">
              <w:rPr>
                <w:sz w:val="24"/>
                <w:szCs w:val="24"/>
              </w:rPr>
              <w:t>wards</w:t>
            </w:r>
            <w:r w:rsidR="001A3429">
              <w:rPr>
                <w:sz w:val="24"/>
                <w:szCs w:val="24"/>
              </w:rPr>
              <w:t>, including AEL PQI Awards</w:t>
            </w:r>
            <w:r>
              <w:rPr>
                <w:sz w:val="24"/>
                <w:szCs w:val="24"/>
              </w:rPr>
              <w:t xml:space="preserve"> </w:t>
            </w:r>
          </w:p>
        </w:tc>
        <w:tc>
          <w:tcPr>
            <w:tcW w:w="1944" w:type="dxa"/>
            <w:tcMar>
              <w:top w:w="72" w:type="dxa"/>
              <w:left w:w="115" w:type="dxa"/>
              <w:bottom w:w="72" w:type="dxa"/>
              <w:right w:w="115" w:type="dxa"/>
            </w:tcMar>
            <w:vAlign w:val="center"/>
          </w:tcPr>
          <w:p w14:paraId="24BE5E28" w14:textId="1BBFA08A" w:rsidR="001D67F7" w:rsidRPr="00342E73" w:rsidRDefault="001D67F7" w:rsidP="00A278AD">
            <w:pPr>
              <w:spacing w:after="0"/>
              <w:rPr>
                <w:sz w:val="24"/>
                <w:szCs w:val="24"/>
              </w:rPr>
            </w:pPr>
            <w:r w:rsidRPr="00342E73">
              <w:rPr>
                <w:sz w:val="24"/>
                <w:szCs w:val="24"/>
              </w:rPr>
              <w:t xml:space="preserve">Not eligible for any </w:t>
            </w:r>
            <w:r>
              <w:rPr>
                <w:sz w:val="24"/>
                <w:szCs w:val="24"/>
              </w:rPr>
              <w:t>Workforce A</w:t>
            </w:r>
            <w:r w:rsidRPr="00342E73">
              <w:rPr>
                <w:sz w:val="24"/>
                <w:szCs w:val="24"/>
              </w:rPr>
              <w:t>wards</w:t>
            </w:r>
            <w:r w:rsidR="001A3429">
              <w:rPr>
                <w:sz w:val="24"/>
                <w:szCs w:val="24"/>
              </w:rPr>
              <w:t>, including AEL PQI Awards</w:t>
            </w:r>
          </w:p>
        </w:tc>
        <w:tc>
          <w:tcPr>
            <w:tcW w:w="1944" w:type="dxa"/>
            <w:tcMar>
              <w:top w:w="72" w:type="dxa"/>
              <w:left w:w="115" w:type="dxa"/>
              <w:bottom w:w="72" w:type="dxa"/>
              <w:right w:w="115" w:type="dxa"/>
            </w:tcMar>
            <w:vAlign w:val="center"/>
          </w:tcPr>
          <w:p w14:paraId="362EDDC7" w14:textId="3B15D161" w:rsidR="001D67F7" w:rsidRPr="00342E73" w:rsidRDefault="001D67F7" w:rsidP="00A278AD">
            <w:pPr>
              <w:spacing w:after="0"/>
              <w:rPr>
                <w:sz w:val="24"/>
                <w:szCs w:val="24"/>
              </w:rPr>
            </w:pPr>
            <w:r w:rsidRPr="00342E73">
              <w:rPr>
                <w:sz w:val="24"/>
                <w:szCs w:val="24"/>
              </w:rPr>
              <w:t xml:space="preserve">Not eligible for any </w:t>
            </w:r>
            <w:r>
              <w:rPr>
                <w:sz w:val="24"/>
                <w:szCs w:val="24"/>
              </w:rPr>
              <w:t>Workforce A</w:t>
            </w:r>
            <w:r w:rsidRPr="00342E73">
              <w:rPr>
                <w:sz w:val="24"/>
                <w:szCs w:val="24"/>
              </w:rPr>
              <w:t>wards</w:t>
            </w:r>
            <w:r w:rsidR="001F7458">
              <w:rPr>
                <w:sz w:val="24"/>
                <w:szCs w:val="24"/>
              </w:rPr>
              <w:t>, including AEL PQI Awards</w:t>
            </w:r>
          </w:p>
        </w:tc>
      </w:tr>
    </w:tbl>
    <w:p w14:paraId="3D689308" w14:textId="77777777" w:rsidR="0050207F" w:rsidRDefault="0050207F" w:rsidP="0050207F">
      <w:pPr>
        <w:spacing w:before="240" w:after="0"/>
        <w:rPr>
          <w:sz w:val="24"/>
          <w:szCs w:val="24"/>
        </w:rPr>
      </w:pPr>
      <w:r w:rsidRPr="00231F54">
        <w:rPr>
          <w:sz w:val="24"/>
          <w:szCs w:val="24"/>
        </w:rPr>
        <w:t xml:space="preserve">The </w:t>
      </w:r>
      <w:r>
        <w:rPr>
          <w:sz w:val="24"/>
          <w:szCs w:val="24"/>
        </w:rPr>
        <w:t xml:space="preserve">corrective action </w:t>
      </w:r>
      <w:r w:rsidRPr="00231F54">
        <w:rPr>
          <w:sz w:val="24"/>
          <w:szCs w:val="24"/>
        </w:rPr>
        <w:t>parameters</w:t>
      </w:r>
      <w:r>
        <w:rPr>
          <w:sz w:val="24"/>
          <w:szCs w:val="24"/>
        </w:rPr>
        <w:t xml:space="preserve"> for Boards </w:t>
      </w:r>
      <w:r w:rsidRPr="00231F54">
        <w:rPr>
          <w:sz w:val="24"/>
          <w:szCs w:val="24"/>
        </w:rPr>
        <w:t xml:space="preserve">are applicable </w:t>
      </w:r>
      <w:r>
        <w:rPr>
          <w:sz w:val="24"/>
          <w:szCs w:val="24"/>
        </w:rPr>
        <w:t>if the following two conditions are met:</w:t>
      </w:r>
    </w:p>
    <w:p w14:paraId="6FDD7158" w14:textId="4F844D53" w:rsidR="0050207F" w:rsidRDefault="0050207F" w:rsidP="0050207F">
      <w:pPr>
        <w:pStyle w:val="ListParagraph"/>
        <w:numPr>
          <w:ilvl w:val="0"/>
          <w:numId w:val="39"/>
        </w:numPr>
        <w:spacing w:after="0"/>
        <w:rPr>
          <w:sz w:val="24"/>
          <w:szCs w:val="24"/>
        </w:rPr>
      </w:pPr>
      <w:r>
        <w:rPr>
          <w:sz w:val="24"/>
          <w:szCs w:val="24"/>
        </w:rPr>
        <w:t>T</w:t>
      </w:r>
      <w:r w:rsidRPr="009B4077">
        <w:rPr>
          <w:sz w:val="24"/>
          <w:szCs w:val="24"/>
        </w:rPr>
        <w:t>he corrective action is related to the performance period upon which the awards are being calculated or evaluated, which is the most recent complete BCY prior to the annual conference</w:t>
      </w:r>
      <w:r>
        <w:rPr>
          <w:sz w:val="24"/>
          <w:szCs w:val="24"/>
        </w:rPr>
        <w:t>;</w:t>
      </w:r>
      <w:r w:rsidRPr="009B4077">
        <w:rPr>
          <w:sz w:val="24"/>
          <w:szCs w:val="24"/>
        </w:rPr>
        <w:t xml:space="preserve"> and </w:t>
      </w:r>
    </w:p>
    <w:p w14:paraId="1D523C33" w14:textId="77777777" w:rsidR="0050207F" w:rsidRPr="009B4077" w:rsidRDefault="0050207F" w:rsidP="0050207F">
      <w:pPr>
        <w:pStyle w:val="ListParagraph"/>
        <w:numPr>
          <w:ilvl w:val="0"/>
          <w:numId w:val="39"/>
        </w:numPr>
        <w:spacing w:after="0"/>
        <w:rPr>
          <w:sz w:val="24"/>
          <w:szCs w:val="24"/>
        </w:rPr>
      </w:pPr>
      <w:r>
        <w:rPr>
          <w:sz w:val="24"/>
          <w:szCs w:val="24"/>
        </w:rPr>
        <w:t>T</w:t>
      </w:r>
      <w:r w:rsidRPr="009B4077">
        <w:rPr>
          <w:sz w:val="24"/>
          <w:szCs w:val="24"/>
        </w:rPr>
        <w:t>he corrective action is taken either:</w:t>
      </w:r>
    </w:p>
    <w:p w14:paraId="76DC347C" w14:textId="6B660955" w:rsidR="0050207F" w:rsidRPr="00231F54" w:rsidRDefault="0050207F" w:rsidP="0050207F">
      <w:pPr>
        <w:pStyle w:val="ListParagraph"/>
        <w:numPr>
          <w:ilvl w:val="0"/>
          <w:numId w:val="40"/>
        </w:numPr>
        <w:spacing w:after="0" w:line="240" w:lineRule="auto"/>
        <w:rPr>
          <w:sz w:val="24"/>
          <w:szCs w:val="24"/>
        </w:rPr>
      </w:pPr>
      <w:r>
        <w:rPr>
          <w:sz w:val="24"/>
          <w:szCs w:val="24"/>
        </w:rPr>
        <w:t xml:space="preserve">during the </w:t>
      </w:r>
      <w:r w:rsidRPr="009B4077">
        <w:rPr>
          <w:sz w:val="24"/>
          <w:szCs w:val="24"/>
        </w:rPr>
        <w:t xml:space="preserve">most recent complete </w:t>
      </w:r>
      <w:r>
        <w:rPr>
          <w:sz w:val="24"/>
          <w:szCs w:val="24"/>
        </w:rPr>
        <w:t>BCY</w:t>
      </w:r>
      <w:r w:rsidRPr="009B4077">
        <w:rPr>
          <w:sz w:val="24"/>
          <w:szCs w:val="24"/>
        </w:rPr>
        <w:t xml:space="preserve"> prior to the annual conference</w:t>
      </w:r>
      <w:r w:rsidRPr="00231F54">
        <w:rPr>
          <w:sz w:val="24"/>
          <w:szCs w:val="24"/>
        </w:rPr>
        <w:t>; or</w:t>
      </w:r>
    </w:p>
    <w:p w14:paraId="78D66F95" w14:textId="7C2E1EFB" w:rsidR="0050207F" w:rsidRDefault="0050207F" w:rsidP="0050207F">
      <w:pPr>
        <w:pStyle w:val="ListParagraph"/>
        <w:numPr>
          <w:ilvl w:val="0"/>
          <w:numId w:val="40"/>
        </w:numPr>
        <w:spacing w:after="0" w:line="240" w:lineRule="auto"/>
        <w:rPr>
          <w:sz w:val="24"/>
          <w:szCs w:val="24"/>
        </w:rPr>
      </w:pPr>
      <w:r w:rsidRPr="00231F54">
        <w:rPr>
          <w:sz w:val="24"/>
          <w:szCs w:val="24"/>
        </w:rPr>
        <w:t>in the period after the end of the BCY but before the award winners are determined.</w:t>
      </w:r>
    </w:p>
    <w:p w14:paraId="10677348" w14:textId="77777777" w:rsidR="001C0AEA" w:rsidRPr="001C0AEA" w:rsidRDefault="001C0AEA" w:rsidP="001C0AEA">
      <w:pPr>
        <w:spacing w:after="0" w:line="240" w:lineRule="auto"/>
        <w:rPr>
          <w:sz w:val="24"/>
          <w:szCs w:val="24"/>
        </w:rPr>
      </w:pPr>
    </w:p>
    <w:p w14:paraId="6E09F8E6" w14:textId="528C7349" w:rsidR="00C2160B" w:rsidRDefault="00094B57" w:rsidP="00F52D11">
      <w:pPr>
        <w:spacing w:after="0"/>
        <w:rPr>
          <w:sz w:val="24"/>
          <w:szCs w:val="24"/>
        </w:rPr>
      </w:pPr>
      <w:r>
        <w:rPr>
          <w:sz w:val="24"/>
          <w:szCs w:val="24"/>
        </w:rPr>
        <w:t>A</w:t>
      </w:r>
      <w:r w:rsidR="004A3FFE" w:rsidRPr="004A3FFE">
        <w:rPr>
          <w:sz w:val="24"/>
          <w:szCs w:val="24"/>
        </w:rPr>
        <w:t xml:space="preserve">n </w:t>
      </w:r>
      <w:r w:rsidR="001A3429" w:rsidRPr="0074584A">
        <w:rPr>
          <w:sz w:val="24"/>
          <w:szCs w:val="24"/>
        </w:rPr>
        <w:t>AEL grantee</w:t>
      </w:r>
      <w:r w:rsidR="00464140">
        <w:rPr>
          <w:sz w:val="24"/>
          <w:szCs w:val="24"/>
        </w:rPr>
        <w:t>—</w:t>
      </w:r>
      <w:r w:rsidR="001A3429" w:rsidRPr="0074584A">
        <w:rPr>
          <w:sz w:val="24"/>
          <w:szCs w:val="24"/>
        </w:rPr>
        <w:t xml:space="preserve">including any Board that is an AEL grantee—under any corrective action for the AEL program at the time awards are being evaluated is not eligible to receive any AEL </w:t>
      </w:r>
      <w:r w:rsidR="00B262AC" w:rsidRPr="0074584A">
        <w:rPr>
          <w:sz w:val="24"/>
          <w:szCs w:val="24"/>
        </w:rPr>
        <w:t>PQI</w:t>
      </w:r>
      <w:r w:rsidR="001A3429" w:rsidRPr="0074584A">
        <w:rPr>
          <w:sz w:val="24"/>
          <w:szCs w:val="24"/>
        </w:rPr>
        <w:t xml:space="preserve"> award</w:t>
      </w:r>
      <w:r w:rsidR="00F71FA0" w:rsidRPr="0074584A">
        <w:rPr>
          <w:sz w:val="24"/>
          <w:szCs w:val="24"/>
        </w:rPr>
        <w:t xml:space="preserve"> for the AEL program under corrective action</w:t>
      </w:r>
      <w:r w:rsidR="001A3429" w:rsidRPr="0074584A">
        <w:rPr>
          <w:sz w:val="24"/>
          <w:szCs w:val="24"/>
        </w:rPr>
        <w:t xml:space="preserve">, unless the corrective action is lifted </w:t>
      </w:r>
      <w:r w:rsidR="008358E4">
        <w:rPr>
          <w:sz w:val="24"/>
          <w:szCs w:val="24"/>
        </w:rPr>
        <w:t>before</w:t>
      </w:r>
      <w:r w:rsidR="001A3429" w:rsidRPr="0074584A">
        <w:rPr>
          <w:sz w:val="24"/>
          <w:szCs w:val="24"/>
        </w:rPr>
        <w:t xml:space="preserve"> </w:t>
      </w:r>
      <w:r w:rsidR="006C670A">
        <w:rPr>
          <w:sz w:val="24"/>
          <w:szCs w:val="24"/>
        </w:rPr>
        <w:t xml:space="preserve">the </w:t>
      </w:r>
      <w:r w:rsidR="001A3429" w:rsidRPr="0074584A">
        <w:rPr>
          <w:sz w:val="24"/>
          <w:szCs w:val="24"/>
        </w:rPr>
        <w:t>AEL PQI award winners are finalized.</w:t>
      </w:r>
      <w:r w:rsidR="00F71FA0" w:rsidRPr="0074584A">
        <w:rPr>
          <w:sz w:val="24"/>
          <w:szCs w:val="24"/>
        </w:rPr>
        <w:t xml:space="preserve"> </w:t>
      </w:r>
      <w:r w:rsidR="001A3429" w:rsidRPr="0074584A">
        <w:rPr>
          <w:sz w:val="24"/>
          <w:szCs w:val="24"/>
        </w:rPr>
        <w:t>A Board</w:t>
      </w:r>
      <w:r w:rsidR="001A3429" w:rsidRPr="004A3FFE">
        <w:rPr>
          <w:sz w:val="24"/>
          <w:szCs w:val="24"/>
        </w:rPr>
        <w:t xml:space="preserve"> that is deemed ineligible to receive an AEL PQI award may still be eligible to receive </w:t>
      </w:r>
      <w:r w:rsidR="00323630" w:rsidRPr="004A3FFE">
        <w:rPr>
          <w:sz w:val="24"/>
          <w:szCs w:val="24"/>
        </w:rPr>
        <w:t xml:space="preserve">other Workforce Awards </w:t>
      </w:r>
      <w:r w:rsidR="001A3429" w:rsidRPr="004A3FFE">
        <w:rPr>
          <w:sz w:val="24"/>
          <w:szCs w:val="24"/>
        </w:rPr>
        <w:t>in accordance with corrective action parameters set forth in this discussion paper</w:t>
      </w:r>
      <w:r w:rsidR="00C2160B">
        <w:rPr>
          <w:sz w:val="24"/>
          <w:szCs w:val="24"/>
        </w:rPr>
        <w:t>.</w:t>
      </w:r>
    </w:p>
    <w:p w14:paraId="712F9C4C" w14:textId="77777777" w:rsidR="001C0AEA" w:rsidRDefault="001C0AEA" w:rsidP="001C0AEA">
      <w:pPr>
        <w:spacing w:after="0"/>
        <w:rPr>
          <w:sz w:val="24"/>
          <w:szCs w:val="24"/>
        </w:rPr>
      </w:pPr>
    </w:p>
    <w:p w14:paraId="083F4195" w14:textId="6CBC72A6" w:rsidR="004628C3" w:rsidRPr="00695664" w:rsidRDefault="004628C3" w:rsidP="00AB45D5">
      <w:pPr>
        <w:spacing w:after="0"/>
        <w:rPr>
          <w:rFonts w:ascii="Times New Roman" w:hAnsi="Times New Roman" w:cs="Times New Roman"/>
          <w:b/>
          <w:sz w:val="24"/>
          <w:szCs w:val="24"/>
        </w:rPr>
      </w:pPr>
      <w:r w:rsidRPr="00695664">
        <w:rPr>
          <w:rFonts w:ascii="Times New Roman" w:hAnsi="Times New Roman" w:cs="Times New Roman"/>
          <w:b/>
          <w:sz w:val="24"/>
          <w:szCs w:val="24"/>
        </w:rPr>
        <w:t>Decision Point</w:t>
      </w:r>
      <w:r w:rsidR="006D19AE">
        <w:rPr>
          <w:rFonts w:ascii="Times New Roman" w:hAnsi="Times New Roman" w:cs="Times New Roman"/>
          <w:b/>
          <w:sz w:val="24"/>
          <w:szCs w:val="24"/>
        </w:rPr>
        <w:t xml:space="preserve"> 4</w:t>
      </w:r>
    </w:p>
    <w:p w14:paraId="0B167DF4" w14:textId="3FCA2332" w:rsidR="00AE3796" w:rsidRPr="005B720D" w:rsidRDefault="0050207F" w:rsidP="005B720D">
      <w:pPr>
        <w:spacing w:after="0"/>
        <w:rPr>
          <w:rFonts w:ascii="Times New Roman" w:hAnsi="Times New Roman" w:cs="Times New Roman"/>
          <w:sz w:val="24"/>
          <w:szCs w:val="24"/>
        </w:rPr>
      </w:pPr>
      <w:r w:rsidRPr="00695664">
        <w:rPr>
          <w:rFonts w:ascii="Times New Roman" w:hAnsi="Times New Roman" w:cs="Times New Roman"/>
          <w:sz w:val="24"/>
          <w:szCs w:val="24"/>
        </w:rPr>
        <w:t>Staff seeks direction on</w:t>
      </w:r>
      <w:r>
        <w:rPr>
          <w:rFonts w:ascii="Times New Roman" w:hAnsi="Times New Roman" w:cs="Times New Roman"/>
          <w:sz w:val="24"/>
          <w:szCs w:val="24"/>
        </w:rPr>
        <w:t xml:space="preserve"> the consideration of </w:t>
      </w:r>
      <w:r w:rsidRPr="00695664">
        <w:rPr>
          <w:rFonts w:ascii="Times New Roman" w:hAnsi="Times New Roman" w:cs="Times New Roman"/>
          <w:sz w:val="24"/>
          <w:szCs w:val="24"/>
        </w:rPr>
        <w:t>extraordinary circumstances</w:t>
      </w:r>
      <w:r w:rsidR="007351C3">
        <w:rPr>
          <w:rFonts w:ascii="Times New Roman" w:hAnsi="Times New Roman" w:cs="Times New Roman"/>
          <w:sz w:val="24"/>
          <w:szCs w:val="24"/>
        </w:rPr>
        <w:t>,</w:t>
      </w:r>
      <w:r w:rsidR="00E51ED2">
        <w:rPr>
          <w:rFonts w:ascii="Times New Roman" w:hAnsi="Times New Roman" w:cs="Times New Roman"/>
          <w:sz w:val="24"/>
          <w:szCs w:val="24"/>
        </w:rPr>
        <w:t xml:space="preserve"> as outlined in this discussion paper</w:t>
      </w:r>
      <w:r w:rsidR="007351C3">
        <w:rPr>
          <w:rFonts w:ascii="Times New Roman" w:hAnsi="Times New Roman" w:cs="Times New Roman"/>
          <w:sz w:val="24"/>
          <w:szCs w:val="24"/>
        </w:rPr>
        <w:t>,</w:t>
      </w:r>
      <w:r>
        <w:rPr>
          <w:rFonts w:ascii="Times New Roman" w:hAnsi="Times New Roman" w:cs="Times New Roman"/>
          <w:sz w:val="24"/>
          <w:szCs w:val="24"/>
        </w:rPr>
        <w:t xml:space="preserve"> when identifying </w:t>
      </w:r>
      <w:r w:rsidRPr="00695664">
        <w:rPr>
          <w:rFonts w:ascii="Times New Roman" w:hAnsi="Times New Roman" w:cs="Times New Roman"/>
          <w:sz w:val="24"/>
          <w:szCs w:val="24"/>
        </w:rPr>
        <w:t>Workforce Awards recipient</w:t>
      </w:r>
      <w:r>
        <w:rPr>
          <w:rFonts w:ascii="Times New Roman" w:hAnsi="Times New Roman" w:cs="Times New Roman"/>
          <w:sz w:val="24"/>
          <w:szCs w:val="24"/>
        </w:rPr>
        <w:t>s.</w:t>
      </w:r>
    </w:p>
    <w:sectPr w:rsidR="00AE3796" w:rsidRPr="005B720D" w:rsidSect="00546E88">
      <w:headerReference w:type="even" r:id="rId10"/>
      <w:headerReference w:type="default" r:id="rId11"/>
      <w:footerReference w:type="even" r:id="rId12"/>
      <w:footerReference w:type="default" r:id="rId13"/>
      <w:headerReference w:type="first" r:id="rId14"/>
      <w:footerReference w:type="first" r:id="rId15"/>
      <w:pgSz w:w="12240" w:h="15840" w:code="1"/>
      <w:pgMar w:top="1354" w:right="1440" w:bottom="72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53A09" w14:textId="77777777" w:rsidR="00AE3796" w:rsidRDefault="00F10220">
      <w:pPr>
        <w:spacing w:after="0" w:line="240" w:lineRule="auto"/>
      </w:pPr>
      <w:r>
        <w:separator/>
      </w:r>
    </w:p>
  </w:endnote>
  <w:endnote w:type="continuationSeparator" w:id="0">
    <w:p w14:paraId="07AECF4F" w14:textId="77777777" w:rsidR="00AE3796" w:rsidRDefault="00F1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1D36" w14:textId="77777777" w:rsidR="00397FD6" w:rsidRDefault="00397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73E1" w14:textId="5A5DCEAC" w:rsidR="00AA0DFC" w:rsidRPr="00790E78" w:rsidRDefault="00AA0DFC" w:rsidP="00790E78">
    <w:pPr>
      <w:pStyle w:val="Head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FILENAME \* MERGEFORMAT </w:instrText>
    </w:r>
    <w:r>
      <w:rPr>
        <w:rFonts w:ascii="Times New Roman" w:hAnsi="Times New Roman" w:cs="Times New Roman"/>
        <w:sz w:val="24"/>
        <w:szCs w:val="24"/>
      </w:rPr>
      <w:fldChar w:fldCharType="separate"/>
    </w:r>
    <w:r w:rsidR="00546E88">
      <w:rPr>
        <w:rFonts w:ascii="Times New Roman" w:hAnsi="Times New Roman" w:cs="Times New Roman"/>
        <w:noProof/>
        <w:sz w:val="24"/>
        <w:szCs w:val="24"/>
      </w:rPr>
      <w:t>DP - Texas Workforce Awards (1.29.19)Notebook.docx</w:t>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Arabic  \* MERGEFORMAT </w:instrText>
    </w:r>
    <w:r>
      <w:rPr>
        <w:rFonts w:ascii="Times New Roman" w:hAnsi="Times New Roman" w:cs="Times New Roman"/>
        <w:sz w:val="24"/>
        <w:szCs w:val="24"/>
      </w:rPr>
      <w:fldChar w:fldCharType="separate"/>
    </w:r>
    <w:r w:rsidR="00187FBA">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F860" w14:textId="77777777" w:rsidR="00397FD6" w:rsidRDefault="00397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1730F" w14:textId="77777777" w:rsidR="00AE3796" w:rsidRDefault="00F10220">
      <w:pPr>
        <w:spacing w:after="0" w:line="240" w:lineRule="auto"/>
      </w:pPr>
      <w:r>
        <w:separator/>
      </w:r>
    </w:p>
  </w:footnote>
  <w:footnote w:type="continuationSeparator" w:id="0">
    <w:p w14:paraId="56EA2355" w14:textId="77777777" w:rsidR="00AE3796" w:rsidRDefault="00F10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BF427" w14:textId="77777777" w:rsidR="00397FD6" w:rsidRDefault="00397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C2F0" w14:textId="77777777" w:rsidR="00397FD6" w:rsidRDefault="00397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12ACF" w14:textId="77777777" w:rsidR="00397FD6" w:rsidRDefault="00397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51C"/>
    <w:multiLevelType w:val="hybridMultilevel"/>
    <w:tmpl w:val="7FC658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718F9"/>
    <w:multiLevelType w:val="hybridMultilevel"/>
    <w:tmpl w:val="6D828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67CE4"/>
    <w:multiLevelType w:val="hybridMultilevel"/>
    <w:tmpl w:val="245C3FB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EF4477"/>
    <w:multiLevelType w:val="hybridMultilevel"/>
    <w:tmpl w:val="7B8E5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01666"/>
    <w:multiLevelType w:val="hybridMultilevel"/>
    <w:tmpl w:val="02526B1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A91D55"/>
    <w:multiLevelType w:val="hybridMultilevel"/>
    <w:tmpl w:val="F2DEF2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D26676"/>
    <w:multiLevelType w:val="hybridMultilevel"/>
    <w:tmpl w:val="390E601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C2AF0"/>
    <w:multiLevelType w:val="hybridMultilevel"/>
    <w:tmpl w:val="EB12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B548C"/>
    <w:multiLevelType w:val="hybridMultilevel"/>
    <w:tmpl w:val="ABFC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E2A47"/>
    <w:multiLevelType w:val="hybridMultilevel"/>
    <w:tmpl w:val="4922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1170B"/>
    <w:multiLevelType w:val="hybridMultilevel"/>
    <w:tmpl w:val="F7F29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916E1"/>
    <w:multiLevelType w:val="hybridMultilevel"/>
    <w:tmpl w:val="FAB0F9B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12650"/>
    <w:multiLevelType w:val="hybridMultilevel"/>
    <w:tmpl w:val="08806EA4"/>
    <w:lvl w:ilvl="0" w:tplc="336ACB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F43A2"/>
    <w:multiLevelType w:val="hybridMultilevel"/>
    <w:tmpl w:val="4200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3449B"/>
    <w:multiLevelType w:val="hybridMultilevel"/>
    <w:tmpl w:val="89225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81A2B"/>
    <w:multiLevelType w:val="hybridMultilevel"/>
    <w:tmpl w:val="16A6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E04CD"/>
    <w:multiLevelType w:val="hybridMultilevel"/>
    <w:tmpl w:val="AF1A03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A66448"/>
    <w:multiLevelType w:val="hybridMultilevel"/>
    <w:tmpl w:val="F3AC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8453B"/>
    <w:multiLevelType w:val="hybridMultilevel"/>
    <w:tmpl w:val="42EA773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85F1D"/>
    <w:multiLevelType w:val="hybridMultilevel"/>
    <w:tmpl w:val="615C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D42C3"/>
    <w:multiLevelType w:val="hybridMultilevel"/>
    <w:tmpl w:val="19E01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C26D2"/>
    <w:multiLevelType w:val="hybridMultilevel"/>
    <w:tmpl w:val="4E965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F20DC"/>
    <w:multiLevelType w:val="hybridMultilevel"/>
    <w:tmpl w:val="6BEA7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D4DDB"/>
    <w:multiLevelType w:val="hybridMultilevel"/>
    <w:tmpl w:val="54000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D65E9"/>
    <w:multiLevelType w:val="hybridMultilevel"/>
    <w:tmpl w:val="E77E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15672"/>
    <w:multiLevelType w:val="hybridMultilevel"/>
    <w:tmpl w:val="5A2A7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4612D"/>
    <w:multiLevelType w:val="hybridMultilevel"/>
    <w:tmpl w:val="91CA5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483566"/>
    <w:multiLevelType w:val="hybridMultilevel"/>
    <w:tmpl w:val="9508D62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F769A"/>
    <w:multiLevelType w:val="hybridMultilevel"/>
    <w:tmpl w:val="9BA22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B362A7"/>
    <w:multiLevelType w:val="hybridMultilevel"/>
    <w:tmpl w:val="B8DEBFB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2D211E"/>
    <w:multiLevelType w:val="hybridMultilevel"/>
    <w:tmpl w:val="0BBA2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066C7"/>
    <w:multiLevelType w:val="hybridMultilevel"/>
    <w:tmpl w:val="B95A2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040B2"/>
    <w:multiLevelType w:val="hybridMultilevel"/>
    <w:tmpl w:val="5BBEEC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D002E3"/>
    <w:multiLevelType w:val="hybridMultilevel"/>
    <w:tmpl w:val="B5AE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54235"/>
    <w:multiLevelType w:val="hybridMultilevel"/>
    <w:tmpl w:val="7ADC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55EEF"/>
    <w:multiLevelType w:val="hybridMultilevel"/>
    <w:tmpl w:val="68CA9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54717"/>
    <w:multiLevelType w:val="hybridMultilevel"/>
    <w:tmpl w:val="915CF5D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4E6308"/>
    <w:multiLevelType w:val="hybridMultilevel"/>
    <w:tmpl w:val="EFE6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6E5C51"/>
    <w:multiLevelType w:val="hybridMultilevel"/>
    <w:tmpl w:val="A5E8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1785A"/>
    <w:multiLevelType w:val="hybridMultilevel"/>
    <w:tmpl w:val="E8DA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13"/>
  </w:num>
  <w:num w:numId="4">
    <w:abstractNumId w:val="37"/>
  </w:num>
  <w:num w:numId="5">
    <w:abstractNumId w:val="19"/>
  </w:num>
  <w:num w:numId="6">
    <w:abstractNumId w:val="15"/>
  </w:num>
  <w:num w:numId="7">
    <w:abstractNumId w:val="24"/>
  </w:num>
  <w:num w:numId="8">
    <w:abstractNumId w:val="14"/>
  </w:num>
  <w:num w:numId="9">
    <w:abstractNumId w:val="34"/>
  </w:num>
  <w:num w:numId="10">
    <w:abstractNumId w:val="10"/>
  </w:num>
  <w:num w:numId="11">
    <w:abstractNumId w:val="20"/>
  </w:num>
  <w:num w:numId="12">
    <w:abstractNumId w:val="38"/>
  </w:num>
  <w:num w:numId="13">
    <w:abstractNumId w:val="39"/>
  </w:num>
  <w:num w:numId="14">
    <w:abstractNumId w:val="22"/>
  </w:num>
  <w:num w:numId="15">
    <w:abstractNumId w:val="27"/>
  </w:num>
  <w:num w:numId="16">
    <w:abstractNumId w:val="30"/>
  </w:num>
  <w:num w:numId="17">
    <w:abstractNumId w:val="21"/>
  </w:num>
  <w:num w:numId="18">
    <w:abstractNumId w:val="23"/>
  </w:num>
  <w:num w:numId="19">
    <w:abstractNumId w:val="3"/>
  </w:num>
  <w:num w:numId="20">
    <w:abstractNumId w:val="33"/>
  </w:num>
  <w:num w:numId="21">
    <w:abstractNumId w:val="8"/>
  </w:num>
  <w:num w:numId="22">
    <w:abstractNumId w:val="2"/>
  </w:num>
  <w:num w:numId="23">
    <w:abstractNumId w:val="5"/>
  </w:num>
  <w:num w:numId="24">
    <w:abstractNumId w:val="35"/>
  </w:num>
  <w:num w:numId="25">
    <w:abstractNumId w:val="25"/>
  </w:num>
  <w:num w:numId="26">
    <w:abstractNumId w:val="32"/>
  </w:num>
  <w:num w:numId="27">
    <w:abstractNumId w:val="28"/>
  </w:num>
  <w:num w:numId="28">
    <w:abstractNumId w:val="36"/>
  </w:num>
  <w:num w:numId="29">
    <w:abstractNumId w:val="0"/>
  </w:num>
  <w:num w:numId="30">
    <w:abstractNumId w:val="16"/>
  </w:num>
  <w:num w:numId="31">
    <w:abstractNumId w:val="1"/>
  </w:num>
  <w:num w:numId="32">
    <w:abstractNumId w:val="11"/>
  </w:num>
  <w:num w:numId="33">
    <w:abstractNumId w:val="29"/>
  </w:num>
  <w:num w:numId="34">
    <w:abstractNumId w:val="4"/>
  </w:num>
  <w:num w:numId="35">
    <w:abstractNumId w:val="18"/>
  </w:num>
  <w:num w:numId="36">
    <w:abstractNumId w:val="9"/>
  </w:num>
  <w:num w:numId="37">
    <w:abstractNumId w:val="17"/>
  </w:num>
  <w:num w:numId="38">
    <w:abstractNumId w:val="7"/>
  </w:num>
  <w:num w:numId="39">
    <w:abstractNumId w:val="2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58"/>
    <w:rsid w:val="00001EB5"/>
    <w:rsid w:val="0000339B"/>
    <w:rsid w:val="00003459"/>
    <w:rsid w:val="000061E2"/>
    <w:rsid w:val="00011C73"/>
    <w:rsid w:val="00013E0F"/>
    <w:rsid w:val="00014CA6"/>
    <w:rsid w:val="000151A2"/>
    <w:rsid w:val="000228BC"/>
    <w:rsid w:val="0002342E"/>
    <w:rsid w:val="00026225"/>
    <w:rsid w:val="00031582"/>
    <w:rsid w:val="00033E4E"/>
    <w:rsid w:val="00035326"/>
    <w:rsid w:val="0003534B"/>
    <w:rsid w:val="00035F80"/>
    <w:rsid w:val="00037FF4"/>
    <w:rsid w:val="00041B6E"/>
    <w:rsid w:val="00043139"/>
    <w:rsid w:val="00043639"/>
    <w:rsid w:val="000436E4"/>
    <w:rsid w:val="0004447D"/>
    <w:rsid w:val="00044C7C"/>
    <w:rsid w:val="00047195"/>
    <w:rsid w:val="00050B9D"/>
    <w:rsid w:val="000524F6"/>
    <w:rsid w:val="000529EE"/>
    <w:rsid w:val="0005681A"/>
    <w:rsid w:val="00056A4B"/>
    <w:rsid w:val="00057C2E"/>
    <w:rsid w:val="00060D3F"/>
    <w:rsid w:val="00062780"/>
    <w:rsid w:val="00064C49"/>
    <w:rsid w:val="0006797A"/>
    <w:rsid w:val="00074BB3"/>
    <w:rsid w:val="00075BB1"/>
    <w:rsid w:val="00076749"/>
    <w:rsid w:val="0007760D"/>
    <w:rsid w:val="000803A0"/>
    <w:rsid w:val="000809E9"/>
    <w:rsid w:val="00080F7B"/>
    <w:rsid w:val="00082DD8"/>
    <w:rsid w:val="00084B5B"/>
    <w:rsid w:val="00084FEC"/>
    <w:rsid w:val="000850D6"/>
    <w:rsid w:val="00092BF0"/>
    <w:rsid w:val="000940DB"/>
    <w:rsid w:val="00094B57"/>
    <w:rsid w:val="0009572B"/>
    <w:rsid w:val="00096571"/>
    <w:rsid w:val="0009742F"/>
    <w:rsid w:val="000A05EC"/>
    <w:rsid w:val="000A3159"/>
    <w:rsid w:val="000A3373"/>
    <w:rsid w:val="000A3806"/>
    <w:rsid w:val="000B1BCF"/>
    <w:rsid w:val="000B5818"/>
    <w:rsid w:val="000B699E"/>
    <w:rsid w:val="000B6DF1"/>
    <w:rsid w:val="000B7731"/>
    <w:rsid w:val="000C1609"/>
    <w:rsid w:val="000C1E40"/>
    <w:rsid w:val="000C24F7"/>
    <w:rsid w:val="000C5573"/>
    <w:rsid w:val="000C570C"/>
    <w:rsid w:val="000C63B0"/>
    <w:rsid w:val="000D02D5"/>
    <w:rsid w:val="000D1E3A"/>
    <w:rsid w:val="000D35C5"/>
    <w:rsid w:val="000D4634"/>
    <w:rsid w:val="000E1FD1"/>
    <w:rsid w:val="000E4C95"/>
    <w:rsid w:val="000E59F6"/>
    <w:rsid w:val="000E6223"/>
    <w:rsid w:val="000E760E"/>
    <w:rsid w:val="000E7D3D"/>
    <w:rsid w:val="000F079E"/>
    <w:rsid w:val="00100015"/>
    <w:rsid w:val="001008B8"/>
    <w:rsid w:val="0010155B"/>
    <w:rsid w:val="0010440A"/>
    <w:rsid w:val="001062E9"/>
    <w:rsid w:val="00107DAF"/>
    <w:rsid w:val="001121CE"/>
    <w:rsid w:val="00115BBD"/>
    <w:rsid w:val="00116A32"/>
    <w:rsid w:val="00121C4E"/>
    <w:rsid w:val="00121E6A"/>
    <w:rsid w:val="00121E8B"/>
    <w:rsid w:val="001230B0"/>
    <w:rsid w:val="00125A71"/>
    <w:rsid w:val="00130CEB"/>
    <w:rsid w:val="00134C2F"/>
    <w:rsid w:val="00136637"/>
    <w:rsid w:val="00144BC8"/>
    <w:rsid w:val="00146984"/>
    <w:rsid w:val="001502C5"/>
    <w:rsid w:val="001510E6"/>
    <w:rsid w:val="00152542"/>
    <w:rsid w:val="00153B06"/>
    <w:rsid w:val="0016015F"/>
    <w:rsid w:val="00162542"/>
    <w:rsid w:val="00163C09"/>
    <w:rsid w:val="0016439F"/>
    <w:rsid w:val="00170694"/>
    <w:rsid w:val="0017265B"/>
    <w:rsid w:val="00173735"/>
    <w:rsid w:val="00177FE8"/>
    <w:rsid w:val="001820D1"/>
    <w:rsid w:val="00182FC1"/>
    <w:rsid w:val="001836C2"/>
    <w:rsid w:val="0018537A"/>
    <w:rsid w:val="0018647F"/>
    <w:rsid w:val="00187FBA"/>
    <w:rsid w:val="00191EAC"/>
    <w:rsid w:val="00192BBB"/>
    <w:rsid w:val="0019479D"/>
    <w:rsid w:val="001951FA"/>
    <w:rsid w:val="001A084B"/>
    <w:rsid w:val="001A22AE"/>
    <w:rsid w:val="001A313C"/>
    <w:rsid w:val="001A3429"/>
    <w:rsid w:val="001A4F56"/>
    <w:rsid w:val="001A5544"/>
    <w:rsid w:val="001A69B0"/>
    <w:rsid w:val="001A6D68"/>
    <w:rsid w:val="001B1322"/>
    <w:rsid w:val="001B3704"/>
    <w:rsid w:val="001B7848"/>
    <w:rsid w:val="001C0AEA"/>
    <w:rsid w:val="001C604A"/>
    <w:rsid w:val="001C6F49"/>
    <w:rsid w:val="001C7E1B"/>
    <w:rsid w:val="001D1ABB"/>
    <w:rsid w:val="001D2F33"/>
    <w:rsid w:val="001D67F7"/>
    <w:rsid w:val="001E1994"/>
    <w:rsid w:val="001E5C4A"/>
    <w:rsid w:val="001F0D34"/>
    <w:rsid w:val="001F1605"/>
    <w:rsid w:val="001F1D43"/>
    <w:rsid w:val="001F23FD"/>
    <w:rsid w:val="001F4FA6"/>
    <w:rsid w:val="001F584D"/>
    <w:rsid w:val="001F5C88"/>
    <w:rsid w:val="001F722F"/>
    <w:rsid w:val="001F7458"/>
    <w:rsid w:val="00200A53"/>
    <w:rsid w:val="00204C5A"/>
    <w:rsid w:val="002078EF"/>
    <w:rsid w:val="00215094"/>
    <w:rsid w:val="00216840"/>
    <w:rsid w:val="00220F24"/>
    <w:rsid w:val="00221BA8"/>
    <w:rsid w:val="00221D58"/>
    <w:rsid w:val="002235F6"/>
    <w:rsid w:val="00225DC2"/>
    <w:rsid w:val="00231F54"/>
    <w:rsid w:val="00233C36"/>
    <w:rsid w:val="00235562"/>
    <w:rsid w:val="00235D19"/>
    <w:rsid w:val="002442D9"/>
    <w:rsid w:val="00244C1E"/>
    <w:rsid w:val="002460BF"/>
    <w:rsid w:val="00247B12"/>
    <w:rsid w:val="00252659"/>
    <w:rsid w:val="0025330F"/>
    <w:rsid w:val="00260AD3"/>
    <w:rsid w:val="0026337D"/>
    <w:rsid w:val="0026387C"/>
    <w:rsid w:val="00264C98"/>
    <w:rsid w:val="0026657F"/>
    <w:rsid w:val="0027139C"/>
    <w:rsid w:val="00277863"/>
    <w:rsid w:val="00280365"/>
    <w:rsid w:val="00282340"/>
    <w:rsid w:val="002839F6"/>
    <w:rsid w:val="00283FD5"/>
    <w:rsid w:val="00285CE3"/>
    <w:rsid w:val="0029071E"/>
    <w:rsid w:val="0029111D"/>
    <w:rsid w:val="0029473D"/>
    <w:rsid w:val="00294EF5"/>
    <w:rsid w:val="002978FD"/>
    <w:rsid w:val="002A1E79"/>
    <w:rsid w:val="002A367C"/>
    <w:rsid w:val="002A36D5"/>
    <w:rsid w:val="002A4F38"/>
    <w:rsid w:val="002B1B45"/>
    <w:rsid w:val="002B694D"/>
    <w:rsid w:val="002C0086"/>
    <w:rsid w:val="002C5656"/>
    <w:rsid w:val="002C6B61"/>
    <w:rsid w:val="002C6D01"/>
    <w:rsid w:val="002D416F"/>
    <w:rsid w:val="002D48EC"/>
    <w:rsid w:val="002D4D58"/>
    <w:rsid w:val="002E2A50"/>
    <w:rsid w:val="002E2DC8"/>
    <w:rsid w:val="002E4F80"/>
    <w:rsid w:val="002E4FF2"/>
    <w:rsid w:val="002F0894"/>
    <w:rsid w:val="002F0937"/>
    <w:rsid w:val="002F1F07"/>
    <w:rsid w:val="002F20E5"/>
    <w:rsid w:val="002F4680"/>
    <w:rsid w:val="002F795D"/>
    <w:rsid w:val="00302143"/>
    <w:rsid w:val="00307F91"/>
    <w:rsid w:val="00312044"/>
    <w:rsid w:val="00315885"/>
    <w:rsid w:val="00321193"/>
    <w:rsid w:val="00321CA8"/>
    <w:rsid w:val="00323630"/>
    <w:rsid w:val="0032502D"/>
    <w:rsid w:val="00330AF1"/>
    <w:rsid w:val="003317BD"/>
    <w:rsid w:val="00342BE1"/>
    <w:rsid w:val="00342E73"/>
    <w:rsid w:val="00344072"/>
    <w:rsid w:val="003446DD"/>
    <w:rsid w:val="003453DD"/>
    <w:rsid w:val="003511EB"/>
    <w:rsid w:val="00351403"/>
    <w:rsid w:val="003516CD"/>
    <w:rsid w:val="00352AE1"/>
    <w:rsid w:val="00352F0D"/>
    <w:rsid w:val="0035323C"/>
    <w:rsid w:val="00357ED3"/>
    <w:rsid w:val="00362613"/>
    <w:rsid w:val="00362BF1"/>
    <w:rsid w:val="00363681"/>
    <w:rsid w:val="00364227"/>
    <w:rsid w:val="0036621D"/>
    <w:rsid w:val="00367217"/>
    <w:rsid w:val="003715AD"/>
    <w:rsid w:val="00382FB6"/>
    <w:rsid w:val="00384B40"/>
    <w:rsid w:val="00396D3D"/>
    <w:rsid w:val="003979B4"/>
    <w:rsid w:val="00397A3B"/>
    <w:rsid w:val="00397C22"/>
    <w:rsid w:val="00397FD6"/>
    <w:rsid w:val="003A33E4"/>
    <w:rsid w:val="003A5E8E"/>
    <w:rsid w:val="003B0AC6"/>
    <w:rsid w:val="003B1243"/>
    <w:rsid w:val="003B33A7"/>
    <w:rsid w:val="003B4E4D"/>
    <w:rsid w:val="003B642D"/>
    <w:rsid w:val="003C4599"/>
    <w:rsid w:val="003C6A00"/>
    <w:rsid w:val="003C6ACD"/>
    <w:rsid w:val="003C6FA2"/>
    <w:rsid w:val="003C71EB"/>
    <w:rsid w:val="003E252D"/>
    <w:rsid w:val="003E514D"/>
    <w:rsid w:val="003E5A4A"/>
    <w:rsid w:val="003E66F1"/>
    <w:rsid w:val="003F4047"/>
    <w:rsid w:val="003F63E5"/>
    <w:rsid w:val="003F7A33"/>
    <w:rsid w:val="00400C60"/>
    <w:rsid w:val="004036F3"/>
    <w:rsid w:val="00403D1C"/>
    <w:rsid w:val="0041156C"/>
    <w:rsid w:val="0041631B"/>
    <w:rsid w:val="004178B4"/>
    <w:rsid w:val="00417DB3"/>
    <w:rsid w:val="004231E7"/>
    <w:rsid w:val="00423A61"/>
    <w:rsid w:val="00424D84"/>
    <w:rsid w:val="0042524F"/>
    <w:rsid w:val="00427F92"/>
    <w:rsid w:val="00436101"/>
    <w:rsid w:val="004361A9"/>
    <w:rsid w:val="0043709B"/>
    <w:rsid w:val="004414A4"/>
    <w:rsid w:val="00441A38"/>
    <w:rsid w:val="00450485"/>
    <w:rsid w:val="00452DFA"/>
    <w:rsid w:val="0045676B"/>
    <w:rsid w:val="004572E8"/>
    <w:rsid w:val="0045766D"/>
    <w:rsid w:val="0046071E"/>
    <w:rsid w:val="00460CD0"/>
    <w:rsid w:val="004628C3"/>
    <w:rsid w:val="00464140"/>
    <w:rsid w:val="004662DF"/>
    <w:rsid w:val="00466C51"/>
    <w:rsid w:val="00470C28"/>
    <w:rsid w:val="004726E2"/>
    <w:rsid w:val="00475588"/>
    <w:rsid w:val="00475758"/>
    <w:rsid w:val="00476618"/>
    <w:rsid w:val="00480086"/>
    <w:rsid w:val="0048048A"/>
    <w:rsid w:val="00481D28"/>
    <w:rsid w:val="0048266A"/>
    <w:rsid w:val="00482BCC"/>
    <w:rsid w:val="0048342B"/>
    <w:rsid w:val="0048402F"/>
    <w:rsid w:val="0048474A"/>
    <w:rsid w:val="004865E5"/>
    <w:rsid w:val="0048677D"/>
    <w:rsid w:val="00493CDC"/>
    <w:rsid w:val="0049642D"/>
    <w:rsid w:val="004A1CAA"/>
    <w:rsid w:val="004A27ED"/>
    <w:rsid w:val="004A3504"/>
    <w:rsid w:val="004A3755"/>
    <w:rsid w:val="004A3EEC"/>
    <w:rsid w:val="004A3FFE"/>
    <w:rsid w:val="004A7970"/>
    <w:rsid w:val="004B117B"/>
    <w:rsid w:val="004B3722"/>
    <w:rsid w:val="004B4794"/>
    <w:rsid w:val="004B500D"/>
    <w:rsid w:val="004B6813"/>
    <w:rsid w:val="004B6BC2"/>
    <w:rsid w:val="004B7830"/>
    <w:rsid w:val="004C1E41"/>
    <w:rsid w:val="004C1F7B"/>
    <w:rsid w:val="004C362C"/>
    <w:rsid w:val="004C3788"/>
    <w:rsid w:val="004D2141"/>
    <w:rsid w:val="004D7D4D"/>
    <w:rsid w:val="004E11D1"/>
    <w:rsid w:val="004E1EDB"/>
    <w:rsid w:val="004E271C"/>
    <w:rsid w:val="004E2D1E"/>
    <w:rsid w:val="004E4946"/>
    <w:rsid w:val="004E57C8"/>
    <w:rsid w:val="004E5E47"/>
    <w:rsid w:val="004E6EB2"/>
    <w:rsid w:val="004F3990"/>
    <w:rsid w:val="004F3C7B"/>
    <w:rsid w:val="004F4A96"/>
    <w:rsid w:val="004F543A"/>
    <w:rsid w:val="0050207F"/>
    <w:rsid w:val="00502E03"/>
    <w:rsid w:val="00503466"/>
    <w:rsid w:val="00504684"/>
    <w:rsid w:val="005054D7"/>
    <w:rsid w:val="00505A05"/>
    <w:rsid w:val="00506B5B"/>
    <w:rsid w:val="00510898"/>
    <w:rsid w:val="0051290B"/>
    <w:rsid w:val="00515EA7"/>
    <w:rsid w:val="0051649B"/>
    <w:rsid w:val="00517B71"/>
    <w:rsid w:val="00521596"/>
    <w:rsid w:val="0052329C"/>
    <w:rsid w:val="00524667"/>
    <w:rsid w:val="005265DB"/>
    <w:rsid w:val="00526CD8"/>
    <w:rsid w:val="0052723C"/>
    <w:rsid w:val="0053030F"/>
    <w:rsid w:val="00530F93"/>
    <w:rsid w:val="00531074"/>
    <w:rsid w:val="00531784"/>
    <w:rsid w:val="005375C0"/>
    <w:rsid w:val="005403CC"/>
    <w:rsid w:val="00540663"/>
    <w:rsid w:val="0054436C"/>
    <w:rsid w:val="0054520A"/>
    <w:rsid w:val="005455B7"/>
    <w:rsid w:val="00546E88"/>
    <w:rsid w:val="00547520"/>
    <w:rsid w:val="00553CB3"/>
    <w:rsid w:val="00562B07"/>
    <w:rsid w:val="00566BE1"/>
    <w:rsid w:val="00567A63"/>
    <w:rsid w:val="00567B64"/>
    <w:rsid w:val="0057033D"/>
    <w:rsid w:val="005727A7"/>
    <w:rsid w:val="00581C44"/>
    <w:rsid w:val="00581F3F"/>
    <w:rsid w:val="00583467"/>
    <w:rsid w:val="00584048"/>
    <w:rsid w:val="0058474D"/>
    <w:rsid w:val="00584771"/>
    <w:rsid w:val="00585524"/>
    <w:rsid w:val="0058733D"/>
    <w:rsid w:val="0059078C"/>
    <w:rsid w:val="00591AE1"/>
    <w:rsid w:val="00591D36"/>
    <w:rsid w:val="00592017"/>
    <w:rsid w:val="0059260B"/>
    <w:rsid w:val="005947DC"/>
    <w:rsid w:val="0059597E"/>
    <w:rsid w:val="005969A8"/>
    <w:rsid w:val="005970C3"/>
    <w:rsid w:val="005A261C"/>
    <w:rsid w:val="005A3013"/>
    <w:rsid w:val="005A385B"/>
    <w:rsid w:val="005A42FE"/>
    <w:rsid w:val="005A51C1"/>
    <w:rsid w:val="005A72EC"/>
    <w:rsid w:val="005B19DE"/>
    <w:rsid w:val="005B4DD3"/>
    <w:rsid w:val="005B597C"/>
    <w:rsid w:val="005B66B9"/>
    <w:rsid w:val="005B720D"/>
    <w:rsid w:val="005C14E0"/>
    <w:rsid w:val="005C39AB"/>
    <w:rsid w:val="005C451E"/>
    <w:rsid w:val="005C6892"/>
    <w:rsid w:val="005C6BC8"/>
    <w:rsid w:val="005C7817"/>
    <w:rsid w:val="005D0863"/>
    <w:rsid w:val="005D2B1F"/>
    <w:rsid w:val="005D3C1B"/>
    <w:rsid w:val="005D489B"/>
    <w:rsid w:val="005D6702"/>
    <w:rsid w:val="005D6EA4"/>
    <w:rsid w:val="005E50EC"/>
    <w:rsid w:val="005E5F11"/>
    <w:rsid w:val="005E6CA6"/>
    <w:rsid w:val="005F0D6D"/>
    <w:rsid w:val="005F3165"/>
    <w:rsid w:val="005F3FA3"/>
    <w:rsid w:val="005F5E5D"/>
    <w:rsid w:val="0060278B"/>
    <w:rsid w:val="00603F08"/>
    <w:rsid w:val="00605B7A"/>
    <w:rsid w:val="00610A7C"/>
    <w:rsid w:val="00611A98"/>
    <w:rsid w:val="006140D3"/>
    <w:rsid w:val="00620368"/>
    <w:rsid w:val="00621433"/>
    <w:rsid w:val="006227B7"/>
    <w:rsid w:val="006243A8"/>
    <w:rsid w:val="00626997"/>
    <w:rsid w:val="00631DD3"/>
    <w:rsid w:val="0063237D"/>
    <w:rsid w:val="00632E2C"/>
    <w:rsid w:val="00636479"/>
    <w:rsid w:val="0064610F"/>
    <w:rsid w:val="006508E1"/>
    <w:rsid w:val="0065120D"/>
    <w:rsid w:val="00652F72"/>
    <w:rsid w:val="0065341C"/>
    <w:rsid w:val="006535BC"/>
    <w:rsid w:val="00653889"/>
    <w:rsid w:val="00656E30"/>
    <w:rsid w:val="00657374"/>
    <w:rsid w:val="00661AC3"/>
    <w:rsid w:val="006626C4"/>
    <w:rsid w:val="00671ED9"/>
    <w:rsid w:val="00673274"/>
    <w:rsid w:val="0067472F"/>
    <w:rsid w:val="00675E57"/>
    <w:rsid w:val="006776AA"/>
    <w:rsid w:val="00677B8E"/>
    <w:rsid w:val="00680EA4"/>
    <w:rsid w:val="00683203"/>
    <w:rsid w:val="00683370"/>
    <w:rsid w:val="00683C05"/>
    <w:rsid w:val="006868D4"/>
    <w:rsid w:val="00687D66"/>
    <w:rsid w:val="00690F16"/>
    <w:rsid w:val="00692270"/>
    <w:rsid w:val="00697516"/>
    <w:rsid w:val="006A0D59"/>
    <w:rsid w:val="006A2062"/>
    <w:rsid w:val="006A409E"/>
    <w:rsid w:val="006A5265"/>
    <w:rsid w:val="006A61E3"/>
    <w:rsid w:val="006A7BFB"/>
    <w:rsid w:val="006B0417"/>
    <w:rsid w:val="006B0E58"/>
    <w:rsid w:val="006B4B58"/>
    <w:rsid w:val="006B504E"/>
    <w:rsid w:val="006B58B0"/>
    <w:rsid w:val="006C2D77"/>
    <w:rsid w:val="006C44F0"/>
    <w:rsid w:val="006C4A9B"/>
    <w:rsid w:val="006C518A"/>
    <w:rsid w:val="006C670A"/>
    <w:rsid w:val="006D0AFE"/>
    <w:rsid w:val="006D19AE"/>
    <w:rsid w:val="006D1AC7"/>
    <w:rsid w:val="006D393F"/>
    <w:rsid w:val="006D487E"/>
    <w:rsid w:val="006D65A1"/>
    <w:rsid w:val="006D6883"/>
    <w:rsid w:val="006D6A31"/>
    <w:rsid w:val="006E5CC3"/>
    <w:rsid w:val="006F1BC0"/>
    <w:rsid w:val="00700463"/>
    <w:rsid w:val="00702892"/>
    <w:rsid w:val="00703121"/>
    <w:rsid w:val="0070366D"/>
    <w:rsid w:val="007043C5"/>
    <w:rsid w:val="0070726B"/>
    <w:rsid w:val="0071193C"/>
    <w:rsid w:val="007121ED"/>
    <w:rsid w:val="007164E0"/>
    <w:rsid w:val="00717A9D"/>
    <w:rsid w:val="00717C55"/>
    <w:rsid w:val="00720AA8"/>
    <w:rsid w:val="00720B57"/>
    <w:rsid w:val="00722991"/>
    <w:rsid w:val="00725217"/>
    <w:rsid w:val="00727490"/>
    <w:rsid w:val="00732D00"/>
    <w:rsid w:val="00734EF5"/>
    <w:rsid w:val="007351C3"/>
    <w:rsid w:val="0073615B"/>
    <w:rsid w:val="00737478"/>
    <w:rsid w:val="007451B1"/>
    <w:rsid w:val="0074584A"/>
    <w:rsid w:val="007525F1"/>
    <w:rsid w:val="00755AEF"/>
    <w:rsid w:val="00760439"/>
    <w:rsid w:val="007637DE"/>
    <w:rsid w:val="00764287"/>
    <w:rsid w:val="00764AAF"/>
    <w:rsid w:val="007674B8"/>
    <w:rsid w:val="00771B4E"/>
    <w:rsid w:val="007728C7"/>
    <w:rsid w:val="007734A0"/>
    <w:rsid w:val="00773D80"/>
    <w:rsid w:val="00774BDF"/>
    <w:rsid w:val="00775DBD"/>
    <w:rsid w:val="0077670F"/>
    <w:rsid w:val="00777A7B"/>
    <w:rsid w:val="007830FA"/>
    <w:rsid w:val="00784BED"/>
    <w:rsid w:val="00785777"/>
    <w:rsid w:val="00787703"/>
    <w:rsid w:val="00787FBE"/>
    <w:rsid w:val="007909FB"/>
    <w:rsid w:val="00790E78"/>
    <w:rsid w:val="00791775"/>
    <w:rsid w:val="00791DB3"/>
    <w:rsid w:val="00793E76"/>
    <w:rsid w:val="007958EE"/>
    <w:rsid w:val="007A0B9C"/>
    <w:rsid w:val="007A14DF"/>
    <w:rsid w:val="007A3957"/>
    <w:rsid w:val="007A4BE1"/>
    <w:rsid w:val="007A68E1"/>
    <w:rsid w:val="007A7197"/>
    <w:rsid w:val="007B2940"/>
    <w:rsid w:val="007B502F"/>
    <w:rsid w:val="007C719D"/>
    <w:rsid w:val="007D7296"/>
    <w:rsid w:val="007E06C4"/>
    <w:rsid w:val="007E0D68"/>
    <w:rsid w:val="007E1283"/>
    <w:rsid w:val="007E1FEF"/>
    <w:rsid w:val="007E3236"/>
    <w:rsid w:val="007E3AC5"/>
    <w:rsid w:val="007E446E"/>
    <w:rsid w:val="007E4C0A"/>
    <w:rsid w:val="007F1235"/>
    <w:rsid w:val="007F1806"/>
    <w:rsid w:val="007F28E7"/>
    <w:rsid w:val="007F33A7"/>
    <w:rsid w:val="007F6BC1"/>
    <w:rsid w:val="007F7D78"/>
    <w:rsid w:val="008015CF"/>
    <w:rsid w:val="00806244"/>
    <w:rsid w:val="00807754"/>
    <w:rsid w:val="00811B85"/>
    <w:rsid w:val="00812902"/>
    <w:rsid w:val="00814DCC"/>
    <w:rsid w:val="008156FC"/>
    <w:rsid w:val="00820889"/>
    <w:rsid w:val="00821171"/>
    <w:rsid w:val="00821C70"/>
    <w:rsid w:val="00823645"/>
    <w:rsid w:val="0082717F"/>
    <w:rsid w:val="00832100"/>
    <w:rsid w:val="0083324C"/>
    <w:rsid w:val="008354EC"/>
    <w:rsid w:val="00835501"/>
    <w:rsid w:val="008358E4"/>
    <w:rsid w:val="0083797D"/>
    <w:rsid w:val="00840CF3"/>
    <w:rsid w:val="00841554"/>
    <w:rsid w:val="00841808"/>
    <w:rsid w:val="008421C2"/>
    <w:rsid w:val="0084225A"/>
    <w:rsid w:val="00852BF8"/>
    <w:rsid w:val="0085344F"/>
    <w:rsid w:val="00853966"/>
    <w:rsid w:val="008540C5"/>
    <w:rsid w:val="00861C90"/>
    <w:rsid w:val="008668AC"/>
    <w:rsid w:val="008703E7"/>
    <w:rsid w:val="008757FD"/>
    <w:rsid w:val="00883992"/>
    <w:rsid w:val="00883E81"/>
    <w:rsid w:val="0088662C"/>
    <w:rsid w:val="008866DE"/>
    <w:rsid w:val="00890BE9"/>
    <w:rsid w:val="0089205B"/>
    <w:rsid w:val="00893760"/>
    <w:rsid w:val="00895F1D"/>
    <w:rsid w:val="00896C8E"/>
    <w:rsid w:val="008A4AD6"/>
    <w:rsid w:val="008A5305"/>
    <w:rsid w:val="008A5FA4"/>
    <w:rsid w:val="008A74A5"/>
    <w:rsid w:val="008A7C9A"/>
    <w:rsid w:val="008B1505"/>
    <w:rsid w:val="008B2596"/>
    <w:rsid w:val="008B3D68"/>
    <w:rsid w:val="008B5B44"/>
    <w:rsid w:val="008B65FE"/>
    <w:rsid w:val="008C0426"/>
    <w:rsid w:val="008C2AA5"/>
    <w:rsid w:val="008C4046"/>
    <w:rsid w:val="008C42D9"/>
    <w:rsid w:val="008C634E"/>
    <w:rsid w:val="008D07D8"/>
    <w:rsid w:val="008D219F"/>
    <w:rsid w:val="008D3B2A"/>
    <w:rsid w:val="008D4860"/>
    <w:rsid w:val="008D504F"/>
    <w:rsid w:val="008D58D6"/>
    <w:rsid w:val="008D60EF"/>
    <w:rsid w:val="008D6520"/>
    <w:rsid w:val="008D7CE0"/>
    <w:rsid w:val="008E02E6"/>
    <w:rsid w:val="008E17B4"/>
    <w:rsid w:val="008E4C13"/>
    <w:rsid w:val="008E562E"/>
    <w:rsid w:val="008E78EF"/>
    <w:rsid w:val="008F298F"/>
    <w:rsid w:val="008F4190"/>
    <w:rsid w:val="008F5DB0"/>
    <w:rsid w:val="00900126"/>
    <w:rsid w:val="009030DC"/>
    <w:rsid w:val="00903A9E"/>
    <w:rsid w:val="00905F0E"/>
    <w:rsid w:val="009070C6"/>
    <w:rsid w:val="009112D0"/>
    <w:rsid w:val="009121DE"/>
    <w:rsid w:val="00916F54"/>
    <w:rsid w:val="00923476"/>
    <w:rsid w:val="00923A56"/>
    <w:rsid w:val="0092407E"/>
    <w:rsid w:val="00924849"/>
    <w:rsid w:val="00924968"/>
    <w:rsid w:val="0092524B"/>
    <w:rsid w:val="009255D0"/>
    <w:rsid w:val="00934B17"/>
    <w:rsid w:val="009401B5"/>
    <w:rsid w:val="00942E4A"/>
    <w:rsid w:val="00944368"/>
    <w:rsid w:val="00944789"/>
    <w:rsid w:val="0094620C"/>
    <w:rsid w:val="00946C53"/>
    <w:rsid w:val="00947564"/>
    <w:rsid w:val="00950FE7"/>
    <w:rsid w:val="0095304A"/>
    <w:rsid w:val="00955831"/>
    <w:rsid w:val="009562E7"/>
    <w:rsid w:val="009564BD"/>
    <w:rsid w:val="00960FFA"/>
    <w:rsid w:val="009673A2"/>
    <w:rsid w:val="009704CB"/>
    <w:rsid w:val="00970DF0"/>
    <w:rsid w:val="0097190A"/>
    <w:rsid w:val="00976007"/>
    <w:rsid w:val="00980460"/>
    <w:rsid w:val="00984ACA"/>
    <w:rsid w:val="00984F1A"/>
    <w:rsid w:val="00985099"/>
    <w:rsid w:val="00986685"/>
    <w:rsid w:val="009868D7"/>
    <w:rsid w:val="009877B0"/>
    <w:rsid w:val="00990BF6"/>
    <w:rsid w:val="00990F11"/>
    <w:rsid w:val="00991E82"/>
    <w:rsid w:val="0099217F"/>
    <w:rsid w:val="009948A0"/>
    <w:rsid w:val="0099568B"/>
    <w:rsid w:val="009974F6"/>
    <w:rsid w:val="009A07C2"/>
    <w:rsid w:val="009A0D53"/>
    <w:rsid w:val="009A2ED2"/>
    <w:rsid w:val="009A454E"/>
    <w:rsid w:val="009A4792"/>
    <w:rsid w:val="009B0723"/>
    <w:rsid w:val="009B2C16"/>
    <w:rsid w:val="009C0071"/>
    <w:rsid w:val="009C6142"/>
    <w:rsid w:val="009C6FCB"/>
    <w:rsid w:val="009C764B"/>
    <w:rsid w:val="009C7A47"/>
    <w:rsid w:val="009C7DFC"/>
    <w:rsid w:val="009D106F"/>
    <w:rsid w:val="009D36FF"/>
    <w:rsid w:val="009D3AEE"/>
    <w:rsid w:val="009D42CD"/>
    <w:rsid w:val="009D4BD3"/>
    <w:rsid w:val="009D51C2"/>
    <w:rsid w:val="009E2972"/>
    <w:rsid w:val="009E3A7D"/>
    <w:rsid w:val="009E3CC5"/>
    <w:rsid w:val="009E52DB"/>
    <w:rsid w:val="009E76C3"/>
    <w:rsid w:val="009F22E8"/>
    <w:rsid w:val="009F4585"/>
    <w:rsid w:val="009F4AC2"/>
    <w:rsid w:val="009F4F91"/>
    <w:rsid w:val="009F5446"/>
    <w:rsid w:val="009F7C39"/>
    <w:rsid w:val="00A00EFD"/>
    <w:rsid w:val="00A025DB"/>
    <w:rsid w:val="00A02C37"/>
    <w:rsid w:val="00A03A31"/>
    <w:rsid w:val="00A06306"/>
    <w:rsid w:val="00A11840"/>
    <w:rsid w:val="00A1352F"/>
    <w:rsid w:val="00A21180"/>
    <w:rsid w:val="00A22C21"/>
    <w:rsid w:val="00A23997"/>
    <w:rsid w:val="00A278AD"/>
    <w:rsid w:val="00A30390"/>
    <w:rsid w:val="00A31589"/>
    <w:rsid w:val="00A31E74"/>
    <w:rsid w:val="00A3395B"/>
    <w:rsid w:val="00A36DF5"/>
    <w:rsid w:val="00A4180F"/>
    <w:rsid w:val="00A4238C"/>
    <w:rsid w:val="00A441FB"/>
    <w:rsid w:val="00A448C2"/>
    <w:rsid w:val="00A4648E"/>
    <w:rsid w:val="00A467B2"/>
    <w:rsid w:val="00A50227"/>
    <w:rsid w:val="00A57495"/>
    <w:rsid w:val="00A57AAC"/>
    <w:rsid w:val="00A62404"/>
    <w:rsid w:val="00A628E5"/>
    <w:rsid w:val="00A6435B"/>
    <w:rsid w:val="00A86058"/>
    <w:rsid w:val="00A86593"/>
    <w:rsid w:val="00A87CEA"/>
    <w:rsid w:val="00A91952"/>
    <w:rsid w:val="00A91D9F"/>
    <w:rsid w:val="00A94448"/>
    <w:rsid w:val="00A94F9C"/>
    <w:rsid w:val="00A961D9"/>
    <w:rsid w:val="00A978D4"/>
    <w:rsid w:val="00A97C80"/>
    <w:rsid w:val="00AA0C71"/>
    <w:rsid w:val="00AA0DFC"/>
    <w:rsid w:val="00AA4395"/>
    <w:rsid w:val="00AA60EE"/>
    <w:rsid w:val="00AB250E"/>
    <w:rsid w:val="00AB2D71"/>
    <w:rsid w:val="00AB36E8"/>
    <w:rsid w:val="00AB45D5"/>
    <w:rsid w:val="00AB5B82"/>
    <w:rsid w:val="00AB6940"/>
    <w:rsid w:val="00AB7495"/>
    <w:rsid w:val="00AC3681"/>
    <w:rsid w:val="00AD4421"/>
    <w:rsid w:val="00AD5E01"/>
    <w:rsid w:val="00AE3114"/>
    <w:rsid w:val="00AE3796"/>
    <w:rsid w:val="00AF3EA1"/>
    <w:rsid w:val="00AF7630"/>
    <w:rsid w:val="00AF7639"/>
    <w:rsid w:val="00B06414"/>
    <w:rsid w:val="00B06548"/>
    <w:rsid w:val="00B07ABE"/>
    <w:rsid w:val="00B11783"/>
    <w:rsid w:val="00B131C7"/>
    <w:rsid w:val="00B15E02"/>
    <w:rsid w:val="00B20686"/>
    <w:rsid w:val="00B21371"/>
    <w:rsid w:val="00B22C19"/>
    <w:rsid w:val="00B25114"/>
    <w:rsid w:val="00B25CFA"/>
    <w:rsid w:val="00B262AC"/>
    <w:rsid w:val="00B27D5F"/>
    <w:rsid w:val="00B33050"/>
    <w:rsid w:val="00B356B3"/>
    <w:rsid w:val="00B367A2"/>
    <w:rsid w:val="00B37D0A"/>
    <w:rsid w:val="00B415BF"/>
    <w:rsid w:val="00B423CD"/>
    <w:rsid w:val="00B50B01"/>
    <w:rsid w:val="00B514C2"/>
    <w:rsid w:val="00B53898"/>
    <w:rsid w:val="00B545ED"/>
    <w:rsid w:val="00B55D0A"/>
    <w:rsid w:val="00B62963"/>
    <w:rsid w:val="00B62DFA"/>
    <w:rsid w:val="00B63653"/>
    <w:rsid w:val="00B6645C"/>
    <w:rsid w:val="00B66B5E"/>
    <w:rsid w:val="00B761B8"/>
    <w:rsid w:val="00B77BA3"/>
    <w:rsid w:val="00B81AFC"/>
    <w:rsid w:val="00B8251B"/>
    <w:rsid w:val="00B83009"/>
    <w:rsid w:val="00B846CD"/>
    <w:rsid w:val="00B8474F"/>
    <w:rsid w:val="00B84FE0"/>
    <w:rsid w:val="00B87DFC"/>
    <w:rsid w:val="00B9082E"/>
    <w:rsid w:val="00B90B3C"/>
    <w:rsid w:val="00B9334F"/>
    <w:rsid w:val="00B947A1"/>
    <w:rsid w:val="00B968D2"/>
    <w:rsid w:val="00B96EED"/>
    <w:rsid w:val="00BA4E58"/>
    <w:rsid w:val="00BA51E4"/>
    <w:rsid w:val="00BA574F"/>
    <w:rsid w:val="00BA731F"/>
    <w:rsid w:val="00BB00B2"/>
    <w:rsid w:val="00BB0BEE"/>
    <w:rsid w:val="00BB0F12"/>
    <w:rsid w:val="00BB139C"/>
    <w:rsid w:val="00BB3C5D"/>
    <w:rsid w:val="00BB4D1A"/>
    <w:rsid w:val="00BB68B0"/>
    <w:rsid w:val="00BC1177"/>
    <w:rsid w:val="00BC1C18"/>
    <w:rsid w:val="00BC1E4E"/>
    <w:rsid w:val="00BC30C7"/>
    <w:rsid w:val="00BC4790"/>
    <w:rsid w:val="00BC5FB1"/>
    <w:rsid w:val="00BC79E1"/>
    <w:rsid w:val="00BD1B9B"/>
    <w:rsid w:val="00BD7580"/>
    <w:rsid w:val="00BE1659"/>
    <w:rsid w:val="00BE2955"/>
    <w:rsid w:val="00BE2C65"/>
    <w:rsid w:val="00BE5973"/>
    <w:rsid w:val="00BE5C81"/>
    <w:rsid w:val="00BE5CC2"/>
    <w:rsid w:val="00BE7EA6"/>
    <w:rsid w:val="00BF096C"/>
    <w:rsid w:val="00BF2688"/>
    <w:rsid w:val="00BF34F0"/>
    <w:rsid w:val="00BF3CDA"/>
    <w:rsid w:val="00BF459A"/>
    <w:rsid w:val="00BF5631"/>
    <w:rsid w:val="00BF7873"/>
    <w:rsid w:val="00C01C41"/>
    <w:rsid w:val="00C022DC"/>
    <w:rsid w:val="00C03F85"/>
    <w:rsid w:val="00C061CA"/>
    <w:rsid w:val="00C10501"/>
    <w:rsid w:val="00C1077B"/>
    <w:rsid w:val="00C114BE"/>
    <w:rsid w:val="00C12194"/>
    <w:rsid w:val="00C1244E"/>
    <w:rsid w:val="00C13078"/>
    <w:rsid w:val="00C14DA6"/>
    <w:rsid w:val="00C1549E"/>
    <w:rsid w:val="00C2160B"/>
    <w:rsid w:val="00C2245F"/>
    <w:rsid w:val="00C22734"/>
    <w:rsid w:val="00C2344E"/>
    <w:rsid w:val="00C23672"/>
    <w:rsid w:val="00C263A4"/>
    <w:rsid w:val="00C269E3"/>
    <w:rsid w:val="00C27A04"/>
    <w:rsid w:val="00C27D7D"/>
    <w:rsid w:val="00C43638"/>
    <w:rsid w:val="00C438E1"/>
    <w:rsid w:val="00C43B1E"/>
    <w:rsid w:val="00C4580F"/>
    <w:rsid w:val="00C45EBA"/>
    <w:rsid w:val="00C468DE"/>
    <w:rsid w:val="00C4693B"/>
    <w:rsid w:val="00C46BE0"/>
    <w:rsid w:val="00C50AE7"/>
    <w:rsid w:val="00C51AB2"/>
    <w:rsid w:val="00C52273"/>
    <w:rsid w:val="00C52A1E"/>
    <w:rsid w:val="00C53F8F"/>
    <w:rsid w:val="00C54803"/>
    <w:rsid w:val="00C54F86"/>
    <w:rsid w:val="00C554C0"/>
    <w:rsid w:val="00C55AFC"/>
    <w:rsid w:val="00C57573"/>
    <w:rsid w:val="00C61C46"/>
    <w:rsid w:val="00C630AF"/>
    <w:rsid w:val="00C71DD1"/>
    <w:rsid w:val="00C7666C"/>
    <w:rsid w:val="00C80172"/>
    <w:rsid w:val="00C805DF"/>
    <w:rsid w:val="00C80B95"/>
    <w:rsid w:val="00C8584C"/>
    <w:rsid w:val="00C869E1"/>
    <w:rsid w:val="00C878A6"/>
    <w:rsid w:val="00C91527"/>
    <w:rsid w:val="00C92E9F"/>
    <w:rsid w:val="00C93D76"/>
    <w:rsid w:val="00C9514B"/>
    <w:rsid w:val="00C95F46"/>
    <w:rsid w:val="00C97714"/>
    <w:rsid w:val="00CA2C50"/>
    <w:rsid w:val="00CA2D42"/>
    <w:rsid w:val="00CA318A"/>
    <w:rsid w:val="00CA5309"/>
    <w:rsid w:val="00CA6EAA"/>
    <w:rsid w:val="00CB0CBC"/>
    <w:rsid w:val="00CB1163"/>
    <w:rsid w:val="00CB17FA"/>
    <w:rsid w:val="00CB447E"/>
    <w:rsid w:val="00CB4836"/>
    <w:rsid w:val="00CB4A88"/>
    <w:rsid w:val="00CB578D"/>
    <w:rsid w:val="00CB5B4F"/>
    <w:rsid w:val="00CB76EB"/>
    <w:rsid w:val="00CC2DDF"/>
    <w:rsid w:val="00CC3FFB"/>
    <w:rsid w:val="00CC7745"/>
    <w:rsid w:val="00CC7C14"/>
    <w:rsid w:val="00CD050A"/>
    <w:rsid w:val="00CD13FA"/>
    <w:rsid w:val="00CD1685"/>
    <w:rsid w:val="00CD29C1"/>
    <w:rsid w:val="00CD4301"/>
    <w:rsid w:val="00CD4BF3"/>
    <w:rsid w:val="00CD67B7"/>
    <w:rsid w:val="00CD6BB4"/>
    <w:rsid w:val="00CE0054"/>
    <w:rsid w:val="00CE06D8"/>
    <w:rsid w:val="00CE2A23"/>
    <w:rsid w:val="00CE5FA5"/>
    <w:rsid w:val="00CF0533"/>
    <w:rsid w:val="00CF191C"/>
    <w:rsid w:val="00CF3B4C"/>
    <w:rsid w:val="00CF56F3"/>
    <w:rsid w:val="00CF6B76"/>
    <w:rsid w:val="00CF6C2F"/>
    <w:rsid w:val="00D020B3"/>
    <w:rsid w:val="00D02ED9"/>
    <w:rsid w:val="00D053FB"/>
    <w:rsid w:val="00D05442"/>
    <w:rsid w:val="00D061EE"/>
    <w:rsid w:val="00D1048F"/>
    <w:rsid w:val="00D10576"/>
    <w:rsid w:val="00D11DE5"/>
    <w:rsid w:val="00D11EF5"/>
    <w:rsid w:val="00D234EF"/>
    <w:rsid w:val="00D23A8A"/>
    <w:rsid w:val="00D27FC3"/>
    <w:rsid w:val="00D30400"/>
    <w:rsid w:val="00D3301C"/>
    <w:rsid w:val="00D34204"/>
    <w:rsid w:val="00D34454"/>
    <w:rsid w:val="00D358A0"/>
    <w:rsid w:val="00D35DA2"/>
    <w:rsid w:val="00D3670F"/>
    <w:rsid w:val="00D36F9F"/>
    <w:rsid w:val="00D401FD"/>
    <w:rsid w:val="00D40997"/>
    <w:rsid w:val="00D411C1"/>
    <w:rsid w:val="00D434A2"/>
    <w:rsid w:val="00D436CF"/>
    <w:rsid w:val="00D52536"/>
    <w:rsid w:val="00D52DBC"/>
    <w:rsid w:val="00D54B51"/>
    <w:rsid w:val="00D55B01"/>
    <w:rsid w:val="00D55E7E"/>
    <w:rsid w:val="00D5642A"/>
    <w:rsid w:val="00D57920"/>
    <w:rsid w:val="00D60E67"/>
    <w:rsid w:val="00D61C65"/>
    <w:rsid w:val="00D627E3"/>
    <w:rsid w:val="00D6746B"/>
    <w:rsid w:val="00D71BEB"/>
    <w:rsid w:val="00D7328C"/>
    <w:rsid w:val="00D741AC"/>
    <w:rsid w:val="00D77793"/>
    <w:rsid w:val="00D81044"/>
    <w:rsid w:val="00D858A7"/>
    <w:rsid w:val="00D8699C"/>
    <w:rsid w:val="00D86CD8"/>
    <w:rsid w:val="00D875CA"/>
    <w:rsid w:val="00D87DC7"/>
    <w:rsid w:val="00D90C01"/>
    <w:rsid w:val="00D928FB"/>
    <w:rsid w:val="00D92C88"/>
    <w:rsid w:val="00D9375A"/>
    <w:rsid w:val="00D97344"/>
    <w:rsid w:val="00DA3197"/>
    <w:rsid w:val="00DA3238"/>
    <w:rsid w:val="00DB22DF"/>
    <w:rsid w:val="00DB6BF7"/>
    <w:rsid w:val="00DB6E93"/>
    <w:rsid w:val="00DC2C14"/>
    <w:rsid w:val="00DC483D"/>
    <w:rsid w:val="00DC63D1"/>
    <w:rsid w:val="00DC657A"/>
    <w:rsid w:val="00DC6811"/>
    <w:rsid w:val="00DC7EF9"/>
    <w:rsid w:val="00DD006C"/>
    <w:rsid w:val="00DD6538"/>
    <w:rsid w:val="00DD6DBE"/>
    <w:rsid w:val="00DD7528"/>
    <w:rsid w:val="00DE1737"/>
    <w:rsid w:val="00DE18A4"/>
    <w:rsid w:val="00DE20E2"/>
    <w:rsid w:val="00DE2EF2"/>
    <w:rsid w:val="00DE2FF2"/>
    <w:rsid w:val="00DE40A0"/>
    <w:rsid w:val="00DE7AED"/>
    <w:rsid w:val="00DF0AF0"/>
    <w:rsid w:val="00DF28BA"/>
    <w:rsid w:val="00DF296A"/>
    <w:rsid w:val="00DF3CCF"/>
    <w:rsid w:val="00DF4317"/>
    <w:rsid w:val="00DF44BF"/>
    <w:rsid w:val="00DF632A"/>
    <w:rsid w:val="00DF75F4"/>
    <w:rsid w:val="00DF7EA2"/>
    <w:rsid w:val="00E0179B"/>
    <w:rsid w:val="00E02FB5"/>
    <w:rsid w:val="00E0317E"/>
    <w:rsid w:val="00E0579D"/>
    <w:rsid w:val="00E06884"/>
    <w:rsid w:val="00E22DFC"/>
    <w:rsid w:val="00E2525C"/>
    <w:rsid w:val="00E253B3"/>
    <w:rsid w:val="00E25584"/>
    <w:rsid w:val="00E26AE1"/>
    <w:rsid w:val="00E34C4D"/>
    <w:rsid w:val="00E41884"/>
    <w:rsid w:val="00E4551A"/>
    <w:rsid w:val="00E45E06"/>
    <w:rsid w:val="00E46FB2"/>
    <w:rsid w:val="00E47CD3"/>
    <w:rsid w:val="00E51ED2"/>
    <w:rsid w:val="00E520B8"/>
    <w:rsid w:val="00E5445E"/>
    <w:rsid w:val="00E57F48"/>
    <w:rsid w:val="00E64D2E"/>
    <w:rsid w:val="00E64E58"/>
    <w:rsid w:val="00E679F4"/>
    <w:rsid w:val="00E75003"/>
    <w:rsid w:val="00E75917"/>
    <w:rsid w:val="00E77411"/>
    <w:rsid w:val="00E816C2"/>
    <w:rsid w:val="00E81CBC"/>
    <w:rsid w:val="00E83099"/>
    <w:rsid w:val="00E83D18"/>
    <w:rsid w:val="00E848CC"/>
    <w:rsid w:val="00E86221"/>
    <w:rsid w:val="00E91011"/>
    <w:rsid w:val="00E93DCD"/>
    <w:rsid w:val="00E940E1"/>
    <w:rsid w:val="00E95013"/>
    <w:rsid w:val="00E95036"/>
    <w:rsid w:val="00E96E78"/>
    <w:rsid w:val="00E97ACC"/>
    <w:rsid w:val="00EA22E2"/>
    <w:rsid w:val="00EA5236"/>
    <w:rsid w:val="00EA617D"/>
    <w:rsid w:val="00EB769E"/>
    <w:rsid w:val="00EC0762"/>
    <w:rsid w:val="00EC09E3"/>
    <w:rsid w:val="00EC0A3F"/>
    <w:rsid w:val="00EC0C47"/>
    <w:rsid w:val="00EC49C7"/>
    <w:rsid w:val="00EC535B"/>
    <w:rsid w:val="00EC723F"/>
    <w:rsid w:val="00ED0BAC"/>
    <w:rsid w:val="00ED0C9F"/>
    <w:rsid w:val="00ED2B19"/>
    <w:rsid w:val="00ED2DC8"/>
    <w:rsid w:val="00ED5134"/>
    <w:rsid w:val="00ED5685"/>
    <w:rsid w:val="00ED6979"/>
    <w:rsid w:val="00EE0FC0"/>
    <w:rsid w:val="00EE3A7E"/>
    <w:rsid w:val="00EE416C"/>
    <w:rsid w:val="00EE79E2"/>
    <w:rsid w:val="00EF0278"/>
    <w:rsid w:val="00EF02E9"/>
    <w:rsid w:val="00EF052E"/>
    <w:rsid w:val="00EF1672"/>
    <w:rsid w:val="00EF1897"/>
    <w:rsid w:val="00EF27CD"/>
    <w:rsid w:val="00EF6792"/>
    <w:rsid w:val="00EF6F68"/>
    <w:rsid w:val="00F024F5"/>
    <w:rsid w:val="00F04D5A"/>
    <w:rsid w:val="00F07009"/>
    <w:rsid w:val="00F10220"/>
    <w:rsid w:val="00F10C99"/>
    <w:rsid w:val="00F15B08"/>
    <w:rsid w:val="00F20DA5"/>
    <w:rsid w:val="00F23A90"/>
    <w:rsid w:val="00F24B16"/>
    <w:rsid w:val="00F25D39"/>
    <w:rsid w:val="00F31015"/>
    <w:rsid w:val="00F351B0"/>
    <w:rsid w:val="00F35533"/>
    <w:rsid w:val="00F41CB8"/>
    <w:rsid w:val="00F4368C"/>
    <w:rsid w:val="00F43755"/>
    <w:rsid w:val="00F476A0"/>
    <w:rsid w:val="00F52D11"/>
    <w:rsid w:val="00F53FCD"/>
    <w:rsid w:val="00F56259"/>
    <w:rsid w:val="00F61453"/>
    <w:rsid w:val="00F6349C"/>
    <w:rsid w:val="00F6369C"/>
    <w:rsid w:val="00F65A9D"/>
    <w:rsid w:val="00F70345"/>
    <w:rsid w:val="00F71386"/>
    <w:rsid w:val="00F71FA0"/>
    <w:rsid w:val="00F81527"/>
    <w:rsid w:val="00F82381"/>
    <w:rsid w:val="00F83FF7"/>
    <w:rsid w:val="00F84412"/>
    <w:rsid w:val="00F911CB"/>
    <w:rsid w:val="00F93231"/>
    <w:rsid w:val="00F94993"/>
    <w:rsid w:val="00F963B0"/>
    <w:rsid w:val="00F96F3C"/>
    <w:rsid w:val="00F97426"/>
    <w:rsid w:val="00FA018B"/>
    <w:rsid w:val="00FA068A"/>
    <w:rsid w:val="00FA255B"/>
    <w:rsid w:val="00FA2CF1"/>
    <w:rsid w:val="00FB1D2C"/>
    <w:rsid w:val="00FB498F"/>
    <w:rsid w:val="00FB5B5C"/>
    <w:rsid w:val="00FB5F35"/>
    <w:rsid w:val="00FB70BA"/>
    <w:rsid w:val="00FB79A1"/>
    <w:rsid w:val="00FC4533"/>
    <w:rsid w:val="00FC464A"/>
    <w:rsid w:val="00FC6099"/>
    <w:rsid w:val="00FD0019"/>
    <w:rsid w:val="00FD1F27"/>
    <w:rsid w:val="00FD284F"/>
    <w:rsid w:val="00FD4943"/>
    <w:rsid w:val="00FD7015"/>
    <w:rsid w:val="00FD7BC2"/>
    <w:rsid w:val="00FE3CD8"/>
    <w:rsid w:val="00FE41BA"/>
    <w:rsid w:val="00FE5544"/>
    <w:rsid w:val="00FF0D5A"/>
    <w:rsid w:val="00FF309A"/>
    <w:rsid w:val="00FF528E"/>
    <w:rsid w:val="00FF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8904A6"/>
  <w15:docId w15:val="{9EF00841-F5AE-4BB3-BC69-197DB42B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1D9"/>
    <w:rPr>
      <w:rFonts w:ascii="Tahoma" w:hAnsi="Tahoma" w:cs="Tahoma"/>
      <w:sz w:val="16"/>
      <w:szCs w:val="16"/>
    </w:rPr>
  </w:style>
  <w:style w:type="paragraph" w:styleId="Header">
    <w:name w:val="header"/>
    <w:basedOn w:val="Normal"/>
    <w:link w:val="HeaderChar"/>
    <w:unhideWhenUsed/>
    <w:rsid w:val="0051290B"/>
    <w:pPr>
      <w:tabs>
        <w:tab w:val="center" w:pos="4680"/>
        <w:tab w:val="right" w:pos="9360"/>
      </w:tabs>
      <w:spacing w:after="0" w:line="240" w:lineRule="auto"/>
    </w:pPr>
  </w:style>
  <w:style w:type="character" w:customStyle="1" w:styleId="HeaderChar">
    <w:name w:val="Header Char"/>
    <w:basedOn w:val="DefaultParagraphFont"/>
    <w:link w:val="Header"/>
    <w:rsid w:val="0051290B"/>
  </w:style>
  <w:style w:type="paragraph" w:styleId="Footer">
    <w:name w:val="footer"/>
    <w:basedOn w:val="Normal"/>
    <w:link w:val="FooterChar"/>
    <w:uiPriority w:val="99"/>
    <w:unhideWhenUsed/>
    <w:rsid w:val="00512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90B"/>
  </w:style>
  <w:style w:type="character" w:styleId="LineNumber">
    <w:name w:val="line number"/>
    <w:basedOn w:val="DefaultParagraphFont"/>
    <w:uiPriority w:val="99"/>
    <w:semiHidden/>
    <w:unhideWhenUsed/>
    <w:rsid w:val="00A1352F"/>
  </w:style>
  <w:style w:type="paragraph" w:styleId="FootnoteText">
    <w:name w:val="footnote text"/>
    <w:basedOn w:val="Normal"/>
    <w:link w:val="FootnoteTextChar"/>
    <w:semiHidden/>
    <w:unhideWhenUsed/>
    <w:rsid w:val="001B3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704"/>
    <w:rPr>
      <w:sz w:val="20"/>
      <w:szCs w:val="20"/>
    </w:rPr>
  </w:style>
  <w:style w:type="character" w:styleId="FootnoteReference">
    <w:name w:val="footnote reference"/>
    <w:basedOn w:val="DefaultParagraphFont"/>
    <w:semiHidden/>
    <w:unhideWhenUsed/>
    <w:rsid w:val="001B3704"/>
    <w:rPr>
      <w:vertAlign w:val="superscript"/>
    </w:rPr>
  </w:style>
  <w:style w:type="paragraph" w:styleId="ListParagraph">
    <w:name w:val="List Paragraph"/>
    <w:basedOn w:val="Normal"/>
    <w:uiPriority w:val="34"/>
    <w:qFormat/>
    <w:rsid w:val="00E0579D"/>
    <w:pPr>
      <w:ind w:left="720"/>
      <w:contextualSpacing/>
    </w:pPr>
  </w:style>
  <w:style w:type="table" w:styleId="TableGrid">
    <w:name w:val="Table Grid"/>
    <w:basedOn w:val="TableNormal"/>
    <w:uiPriority w:val="59"/>
    <w:rsid w:val="000C1E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D0019"/>
    <w:rPr>
      <w:sz w:val="16"/>
      <w:szCs w:val="16"/>
    </w:rPr>
  </w:style>
  <w:style w:type="paragraph" w:styleId="CommentText">
    <w:name w:val="annotation text"/>
    <w:basedOn w:val="Normal"/>
    <w:link w:val="CommentTextChar"/>
    <w:uiPriority w:val="99"/>
    <w:semiHidden/>
    <w:unhideWhenUsed/>
    <w:rsid w:val="00FD0019"/>
    <w:pPr>
      <w:spacing w:line="240" w:lineRule="auto"/>
    </w:pPr>
    <w:rPr>
      <w:sz w:val="20"/>
      <w:szCs w:val="20"/>
    </w:rPr>
  </w:style>
  <w:style w:type="character" w:customStyle="1" w:styleId="CommentTextChar">
    <w:name w:val="Comment Text Char"/>
    <w:basedOn w:val="DefaultParagraphFont"/>
    <w:link w:val="CommentText"/>
    <w:uiPriority w:val="99"/>
    <w:semiHidden/>
    <w:rsid w:val="00FD0019"/>
    <w:rPr>
      <w:sz w:val="20"/>
      <w:szCs w:val="20"/>
    </w:rPr>
  </w:style>
  <w:style w:type="paragraph" w:styleId="CommentSubject">
    <w:name w:val="annotation subject"/>
    <w:basedOn w:val="CommentText"/>
    <w:next w:val="CommentText"/>
    <w:link w:val="CommentSubjectChar"/>
    <w:uiPriority w:val="99"/>
    <w:semiHidden/>
    <w:unhideWhenUsed/>
    <w:rsid w:val="00FD0019"/>
    <w:rPr>
      <w:b/>
      <w:bCs/>
    </w:rPr>
  </w:style>
  <w:style w:type="character" w:customStyle="1" w:styleId="CommentSubjectChar">
    <w:name w:val="Comment Subject Char"/>
    <w:basedOn w:val="CommentTextChar"/>
    <w:link w:val="CommentSubject"/>
    <w:uiPriority w:val="99"/>
    <w:semiHidden/>
    <w:rsid w:val="00FD0019"/>
    <w:rPr>
      <w:b/>
      <w:bCs/>
      <w:sz w:val="20"/>
      <w:szCs w:val="20"/>
    </w:rPr>
  </w:style>
  <w:style w:type="paragraph" w:styleId="Revision">
    <w:name w:val="Revision"/>
    <w:hidden/>
    <w:uiPriority w:val="99"/>
    <w:semiHidden/>
    <w:rsid w:val="00806244"/>
    <w:pPr>
      <w:spacing w:after="0" w:line="240" w:lineRule="auto"/>
    </w:pPr>
  </w:style>
  <w:style w:type="character" w:styleId="PlaceholderText">
    <w:name w:val="Placeholder Text"/>
    <w:basedOn w:val="DefaultParagraphFont"/>
    <w:uiPriority w:val="99"/>
    <w:semiHidden/>
    <w:rsid w:val="00DE20E2"/>
    <w:rPr>
      <w:color w:val="808080"/>
    </w:rPr>
  </w:style>
  <w:style w:type="paragraph" w:styleId="Title">
    <w:name w:val="Title"/>
    <w:basedOn w:val="Normal"/>
    <w:link w:val="TitleChar"/>
    <w:qFormat/>
    <w:rsid w:val="002F0937"/>
    <w:pPr>
      <w:spacing w:after="12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F0937"/>
    <w:rPr>
      <w:rFonts w:ascii="Times New Roman" w:eastAsia="Times New Roman" w:hAnsi="Times New Roman" w:cs="Times New Roman"/>
      <w:b/>
      <w:sz w:val="24"/>
      <w:szCs w:val="20"/>
    </w:rPr>
  </w:style>
  <w:style w:type="paragraph" w:styleId="Caption">
    <w:name w:val="caption"/>
    <w:basedOn w:val="Normal"/>
    <w:next w:val="Normal"/>
    <w:uiPriority w:val="35"/>
    <w:unhideWhenUsed/>
    <w:qFormat/>
    <w:rsid w:val="00FD284F"/>
    <w:pPr>
      <w:spacing w:line="240" w:lineRule="auto"/>
    </w:pPr>
    <w:rPr>
      <w:i/>
      <w:iCs/>
      <w:color w:val="1F497D" w:themeColor="text2"/>
      <w:sz w:val="18"/>
      <w:szCs w:val="18"/>
    </w:rPr>
  </w:style>
  <w:style w:type="character" w:styleId="Hyperlink">
    <w:name w:val="Hyperlink"/>
    <w:basedOn w:val="DefaultParagraphFont"/>
    <w:uiPriority w:val="99"/>
    <w:unhideWhenUsed/>
    <w:rsid w:val="006D6A31"/>
    <w:rPr>
      <w:color w:val="0000FF" w:themeColor="hyperlink"/>
      <w:u w:val="single"/>
    </w:rPr>
  </w:style>
  <w:style w:type="character" w:styleId="UnresolvedMention">
    <w:name w:val="Unresolved Mention"/>
    <w:basedOn w:val="DefaultParagraphFont"/>
    <w:uiPriority w:val="99"/>
    <w:semiHidden/>
    <w:unhideWhenUsed/>
    <w:rsid w:val="006D6A31"/>
    <w:rPr>
      <w:color w:val="808080"/>
      <w:shd w:val="clear" w:color="auto" w:fill="E6E6E6"/>
    </w:rPr>
  </w:style>
  <w:style w:type="character" w:styleId="FollowedHyperlink">
    <w:name w:val="FollowedHyperlink"/>
    <w:basedOn w:val="DefaultParagraphFont"/>
    <w:uiPriority w:val="99"/>
    <w:semiHidden/>
    <w:unhideWhenUsed/>
    <w:rsid w:val="00294EF5"/>
    <w:rPr>
      <w:color w:val="800080" w:themeColor="followedHyperlink"/>
      <w:u w:val="single"/>
    </w:rPr>
  </w:style>
  <w:style w:type="character" w:customStyle="1" w:styleId="tgrc">
    <w:name w:val="tgrc"/>
    <w:basedOn w:val="DefaultParagraphFont"/>
    <w:rsid w:val="00CA318A"/>
  </w:style>
  <w:style w:type="character" w:customStyle="1" w:styleId="tgrc-b">
    <w:name w:val="tgrc-b"/>
    <w:basedOn w:val="DefaultParagraphFont"/>
    <w:rsid w:val="00521596"/>
  </w:style>
  <w:style w:type="character" w:styleId="Emphasis">
    <w:name w:val="Emphasis"/>
    <w:basedOn w:val="DefaultParagraphFont"/>
    <w:uiPriority w:val="20"/>
    <w:qFormat/>
    <w:rsid w:val="00192B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450">
      <w:bodyDiv w:val="1"/>
      <w:marLeft w:val="0"/>
      <w:marRight w:val="0"/>
      <w:marTop w:val="0"/>
      <w:marBottom w:val="0"/>
      <w:divBdr>
        <w:top w:val="none" w:sz="0" w:space="0" w:color="auto"/>
        <w:left w:val="none" w:sz="0" w:space="0" w:color="auto"/>
        <w:bottom w:val="none" w:sz="0" w:space="0" w:color="auto"/>
        <w:right w:val="none" w:sz="0" w:space="0" w:color="auto"/>
      </w:divBdr>
    </w:div>
    <w:div w:id="135340491">
      <w:bodyDiv w:val="1"/>
      <w:marLeft w:val="0"/>
      <w:marRight w:val="0"/>
      <w:marTop w:val="0"/>
      <w:marBottom w:val="0"/>
      <w:divBdr>
        <w:top w:val="none" w:sz="0" w:space="0" w:color="auto"/>
        <w:left w:val="none" w:sz="0" w:space="0" w:color="auto"/>
        <w:bottom w:val="none" w:sz="0" w:space="0" w:color="auto"/>
        <w:right w:val="none" w:sz="0" w:space="0" w:color="auto"/>
      </w:divBdr>
    </w:div>
    <w:div w:id="275674717">
      <w:bodyDiv w:val="1"/>
      <w:marLeft w:val="0"/>
      <w:marRight w:val="0"/>
      <w:marTop w:val="0"/>
      <w:marBottom w:val="0"/>
      <w:divBdr>
        <w:top w:val="none" w:sz="0" w:space="0" w:color="auto"/>
        <w:left w:val="none" w:sz="0" w:space="0" w:color="auto"/>
        <w:bottom w:val="none" w:sz="0" w:space="0" w:color="auto"/>
        <w:right w:val="none" w:sz="0" w:space="0" w:color="auto"/>
      </w:divBdr>
    </w:div>
    <w:div w:id="366688216">
      <w:bodyDiv w:val="1"/>
      <w:marLeft w:val="0"/>
      <w:marRight w:val="0"/>
      <w:marTop w:val="0"/>
      <w:marBottom w:val="0"/>
      <w:divBdr>
        <w:top w:val="none" w:sz="0" w:space="0" w:color="auto"/>
        <w:left w:val="none" w:sz="0" w:space="0" w:color="auto"/>
        <w:bottom w:val="none" w:sz="0" w:space="0" w:color="auto"/>
        <w:right w:val="none" w:sz="0" w:space="0" w:color="auto"/>
      </w:divBdr>
    </w:div>
    <w:div w:id="591358521">
      <w:bodyDiv w:val="1"/>
      <w:marLeft w:val="0"/>
      <w:marRight w:val="0"/>
      <w:marTop w:val="0"/>
      <w:marBottom w:val="0"/>
      <w:divBdr>
        <w:top w:val="none" w:sz="0" w:space="0" w:color="auto"/>
        <w:left w:val="none" w:sz="0" w:space="0" w:color="auto"/>
        <w:bottom w:val="none" w:sz="0" w:space="0" w:color="auto"/>
        <w:right w:val="none" w:sz="0" w:space="0" w:color="auto"/>
      </w:divBdr>
    </w:div>
    <w:div w:id="778180183">
      <w:bodyDiv w:val="1"/>
      <w:marLeft w:val="0"/>
      <w:marRight w:val="0"/>
      <w:marTop w:val="0"/>
      <w:marBottom w:val="0"/>
      <w:divBdr>
        <w:top w:val="none" w:sz="0" w:space="0" w:color="auto"/>
        <w:left w:val="none" w:sz="0" w:space="0" w:color="auto"/>
        <w:bottom w:val="none" w:sz="0" w:space="0" w:color="auto"/>
        <w:right w:val="none" w:sz="0" w:space="0" w:color="auto"/>
      </w:divBdr>
    </w:div>
    <w:div w:id="855188759">
      <w:bodyDiv w:val="1"/>
      <w:marLeft w:val="0"/>
      <w:marRight w:val="0"/>
      <w:marTop w:val="0"/>
      <w:marBottom w:val="0"/>
      <w:divBdr>
        <w:top w:val="none" w:sz="0" w:space="0" w:color="auto"/>
        <w:left w:val="none" w:sz="0" w:space="0" w:color="auto"/>
        <w:bottom w:val="none" w:sz="0" w:space="0" w:color="auto"/>
        <w:right w:val="none" w:sz="0" w:space="0" w:color="auto"/>
      </w:divBdr>
    </w:div>
    <w:div w:id="860315418">
      <w:bodyDiv w:val="1"/>
      <w:marLeft w:val="0"/>
      <w:marRight w:val="0"/>
      <w:marTop w:val="0"/>
      <w:marBottom w:val="0"/>
      <w:divBdr>
        <w:top w:val="none" w:sz="0" w:space="0" w:color="auto"/>
        <w:left w:val="none" w:sz="0" w:space="0" w:color="auto"/>
        <w:bottom w:val="none" w:sz="0" w:space="0" w:color="auto"/>
        <w:right w:val="none" w:sz="0" w:space="0" w:color="auto"/>
      </w:divBdr>
    </w:div>
    <w:div w:id="912206653">
      <w:bodyDiv w:val="1"/>
      <w:marLeft w:val="0"/>
      <w:marRight w:val="0"/>
      <w:marTop w:val="0"/>
      <w:marBottom w:val="0"/>
      <w:divBdr>
        <w:top w:val="none" w:sz="0" w:space="0" w:color="auto"/>
        <w:left w:val="none" w:sz="0" w:space="0" w:color="auto"/>
        <w:bottom w:val="none" w:sz="0" w:space="0" w:color="auto"/>
        <w:right w:val="none" w:sz="0" w:space="0" w:color="auto"/>
      </w:divBdr>
    </w:div>
    <w:div w:id="917059320">
      <w:bodyDiv w:val="1"/>
      <w:marLeft w:val="0"/>
      <w:marRight w:val="0"/>
      <w:marTop w:val="0"/>
      <w:marBottom w:val="0"/>
      <w:divBdr>
        <w:top w:val="none" w:sz="0" w:space="0" w:color="auto"/>
        <w:left w:val="none" w:sz="0" w:space="0" w:color="auto"/>
        <w:bottom w:val="none" w:sz="0" w:space="0" w:color="auto"/>
        <w:right w:val="none" w:sz="0" w:space="0" w:color="auto"/>
      </w:divBdr>
    </w:div>
    <w:div w:id="1070542289">
      <w:bodyDiv w:val="1"/>
      <w:marLeft w:val="0"/>
      <w:marRight w:val="0"/>
      <w:marTop w:val="0"/>
      <w:marBottom w:val="0"/>
      <w:divBdr>
        <w:top w:val="none" w:sz="0" w:space="0" w:color="auto"/>
        <w:left w:val="none" w:sz="0" w:space="0" w:color="auto"/>
        <w:bottom w:val="none" w:sz="0" w:space="0" w:color="auto"/>
        <w:right w:val="none" w:sz="0" w:space="0" w:color="auto"/>
      </w:divBdr>
    </w:div>
    <w:div w:id="1129013730">
      <w:bodyDiv w:val="1"/>
      <w:marLeft w:val="0"/>
      <w:marRight w:val="0"/>
      <w:marTop w:val="0"/>
      <w:marBottom w:val="0"/>
      <w:divBdr>
        <w:top w:val="none" w:sz="0" w:space="0" w:color="auto"/>
        <w:left w:val="none" w:sz="0" w:space="0" w:color="auto"/>
        <w:bottom w:val="none" w:sz="0" w:space="0" w:color="auto"/>
        <w:right w:val="none" w:sz="0" w:space="0" w:color="auto"/>
      </w:divBdr>
    </w:div>
    <w:div w:id="1141727442">
      <w:bodyDiv w:val="1"/>
      <w:marLeft w:val="0"/>
      <w:marRight w:val="0"/>
      <w:marTop w:val="0"/>
      <w:marBottom w:val="0"/>
      <w:divBdr>
        <w:top w:val="none" w:sz="0" w:space="0" w:color="auto"/>
        <w:left w:val="none" w:sz="0" w:space="0" w:color="auto"/>
        <w:bottom w:val="none" w:sz="0" w:space="0" w:color="auto"/>
        <w:right w:val="none" w:sz="0" w:space="0" w:color="auto"/>
      </w:divBdr>
    </w:div>
    <w:div w:id="1346664455">
      <w:bodyDiv w:val="1"/>
      <w:marLeft w:val="0"/>
      <w:marRight w:val="0"/>
      <w:marTop w:val="0"/>
      <w:marBottom w:val="0"/>
      <w:divBdr>
        <w:top w:val="none" w:sz="0" w:space="0" w:color="auto"/>
        <w:left w:val="none" w:sz="0" w:space="0" w:color="auto"/>
        <w:bottom w:val="none" w:sz="0" w:space="0" w:color="auto"/>
        <w:right w:val="none" w:sz="0" w:space="0" w:color="auto"/>
      </w:divBdr>
    </w:div>
    <w:div w:id="1438328711">
      <w:bodyDiv w:val="1"/>
      <w:marLeft w:val="0"/>
      <w:marRight w:val="0"/>
      <w:marTop w:val="0"/>
      <w:marBottom w:val="0"/>
      <w:divBdr>
        <w:top w:val="none" w:sz="0" w:space="0" w:color="auto"/>
        <w:left w:val="none" w:sz="0" w:space="0" w:color="auto"/>
        <w:bottom w:val="none" w:sz="0" w:space="0" w:color="auto"/>
        <w:right w:val="none" w:sz="0" w:space="0" w:color="auto"/>
      </w:divBdr>
    </w:div>
    <w:div w:id="1499491937">
      <w:bodyDiv w:val="1"/>
      <w:marLeft w:val="0"/>
      <w:marRight w:val="0"/>
      <w:marTop w:val="0"/>
      <w:marBottom w:val="0"/>
      <w:divBdr>
        <w:top w:val="none" w:sz="0" w:space="0" w:color="auto"/>
        <w:left w:val="none" w:sz="0" w:space="0" w:color="auto"/>
        <w:bottom w:val="none" w:sz="0" w:space="0" w:color="auto"/>
        <w:right w:val="none" w:sz="0" w:space="0" w:color="auto"/>
      </w:divBdr>
    </w:div>
    <w:div w:id="1530682392">
      <w:bodyDiv w:val="1"/>
      <w:marLeft w:val="0"/>
      <w:marRight w:val="0"/>
      <w:marTop w:val="0"/>
      <w:marBottom w:val="0"/>
      <w:divBdr>
        <w:top w:val="none" w:sz="0" w:space="0" w:color="auto"/>
        <w:left w:val="none" w:sz="0" w:space="0" w:color="auto"/>
        <w:bottom w:val="none" w:sz="0" w:space="0" w:color="auto"/>
        <w:right w:val="none" w:sz="0" w:space="0" w:color="auto"/>
      </w:divBdr>
    </w:div>
    <w:div w:id="1686056960">
      <w:bodyDiv w:val="1"/>
      <w:marLeft w:val="0"/>
      <w:marRight w:val="0"/>
      <w:marTop w:val="0"/>
      <w:marBottom w:val="0"/>
      <w:divBdr>
        <w:top w:val="none" w:sz="0" w:space="0" w:color="auto"/>
        <w:left w:val="none" w:sz="0" w:space="0" w:color="auto"/>
        <w:bottom w:val="none" w:sz="0" w:space="0" w:color="auto"/>
        <w:right w:val="none" w:sz="0" w:space="0" w:color="auto"/>
      </w:divBdr>
    </w:div>
    <w:div w:id="1904556841">
      <w:bodyDiv w:val="1"/>
      <w:marLeft w:val="0"/>
      <w:marRight w:val="0"/>
      <w:marTop w:val="0"/>
      <w:marBottom w:val="0"/>
      <w:divBdr>
        <w:top w:val="none" w:sz="0" w:space="0" w:color="auto"/>
        <w:left w:val="none" w:sz="0" w:space="0" w:color="auto"/>
        <w:bottom w:val="none" w:sz="0" w:space="0" w:color="auto"/>
        <w:right w:val="none" w:sz="0" w:space="0" w:color="auto"/>
      </w:divBdr>
    </w:div>
    <w:div w:id="1910144864">
      <w:bodyDiv w:val="1"/>
      <w:marLeft w:val="0"/>
      <w:marRight w:val="0"/>
      <w:marTop w:val="0"/>
      <w:marBottom w:val="0"/>
      <w:divBdr>
        <w:top w:val="none" w:sz="0" w:space="0" w:color="auto"/>
        <w:left w:val="none" w:sz="0" w:space="0" w:color="auto"/>
        <w:bottom w:val="none" w:sz="0" w:space="0" w:color="auto"/>
        <w:right w:val="none" w:sz="0" w:space="0" w:color="auto"/>
      </w:divBdr>
    </w:div>
    <w:div w:id="1921330821">
      <w:bodyDiv w:val="1"/>
      <w:marLeft w:val="0"/>
      <w:marRight w:val="0"/>
      <w:marTop w:val="0"/>
      <w:marBottom w:val="0"/>
      <w:divBdr>
        <w:top w:val="none" w:sz="0" w:space="0" w:color="auto"/>
        <w:left w:val="none" w:sz="0" w:space="0" w:color="auto"/>
        <w:bottom w:val="none" w:sz="0" w:space="0" w:color="auto"/>
        <w:right w:val="none" w:sz="0" w:space="0" w:color="auto"/>
      </w:divBdr>
    </w:div>
    <w:div w:id="20383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5&amp;ti=40&amp;pt=20&amp;ch=802&amp;sch=I&amp;rl=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w.cornell.edu/cfr/text/20/666.4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FB02-95BE-43CF-BFD0-25FEB79B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DP Texas Workforce Awards</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Meeting Materials 012919 - Texas Workforce Awards Discussion Paper</dc:title>
  <dc:creator>Fuentes,Regina G</dc:creator>
  <cp:lastModifiedBy>Springer,Lance J</cp:lastModifiedBy>
  <cp:revision>4</cp:revision>
  <cp:lastPrinted>2019-01-23T19:50:00Z</cp:lastPrinted>
  <dcterms:created xsi:type="dcterms:W3CDTF">2019-01-22T15:25:00Z</dcterms:created>
  <dcterms:modified xsi:type="dcterms:W3CDTF">2019-01-25T15:47:00Z</dcterms:modified>
</cp:coreProperties>
</file>