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02" w:rsidRDefault="00141B02" w:rsidP="00141B02">
      <w:pPr>
        <w:rPr>
          <w:b/>
        </w:rPr>
      </w:pPr>
      <w:bookmarkStart w:id="0" w:name="_GoBack"/>
      <w:bookmarkEnd w:id="0"/>
      <w:r w:rsidRPr="00AE1B74">
        <w:rPr>
          <w:b/>
        </w:rPr>
        <w:t>CHAPTER 800.  GENERAL ADMINISTRATION</w:t>
      </w:r>
    </w:p>
    <w:p w:rsidR="00141B02" w:rsidRPr="00ED5774" w:rsidRDefault="00141B02" w:rsidP="00141B02">
      <w:pPr>
        <w:rPr>
          <w:sz w:val="16"/>
          <w:szCs w:val="16"/>
        </w:rPr>
      </w:pPr>
    </w:p>
    <w:p w:rsidR="00141B02" w:rsidRPr="00DA180C" w:rsidRDefault="00141B02" w:rsidP="00141B02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0719B4" w:rsidRDefault="00347000" w:rsidP="00141B02">
      <w:pPr>
        <w:rPr>
          <w:szCs w:val="24"/>
        </w:rPr>
      </w:pPr>
    </w:p>
    <w:p w:rsidR="00141B02" w:rsidRPr="000719B4" w:rsidRDefault="00141B02" w:rsidP="00141B02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 xml:space="preserve">adopts the review of </w:t>
      </w:r>
      <w:r w:rsidRPr="001B635B">
        <w:rPr>
          <w:szCs w:val="24"/>
        </w:rPr>
        <w:t>Chapter 800, General Administration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1B240F">
        <w:rPr>
          <w:szCs w:val="24"/>
        </w:rPr>
        <w:t xml:space="preserve">2001.039. </w:t>
      </w:r>
      <w:r w:rsidRPr="000719B4">
        <w:rPr>
          <w:szCs w:val="24"/>
        </w:rPr>
        <w:t>The proposed notice of intent to review rules w</w:t>
      </w:r>
      <w:r>
        <w:rPr>
          <w:szCs w:val="24"/>
        </w:rPr>
        <w:t xml:space="preserve">as published in the </w:t>
      </w:r>
      <w:r w:rsidR="001B240F">
        <w:rPr>
          <w:szCs w:val="24"/>
        </w:rPr>
        <w:t>November 16, 2018</w:t>
      </w:r>
      <w:r>
        <w:rPr>
          <w:szCs w:val="24"/>
        </w:rPr>
        <w:t xml:space="preserve">, </w:t>
      </w:r>
      <w:r w:rsidRPr="000719B4">
        <w:rPr>
          <w:szCs w:val="24"/>
        </w:rPr>
        <w:t xml:space="preserve">issue of the </w:t>
      </w:r>
      <w:r w:rsidRPr="000719B4">
        <w:rPr>
          <w:i/>
          <w:szCs w:val="24"/>
        </w:rPr>
        <w:t>Texas Register</w:t>
      </w:r>
      <w:r>
        <w:rPr>
          <w:szCs w:val="24"/>
        </w:rPr>
        <w:t xml:space="preserve"> (</w:t>
      </w:r>
      <w:r w:rsidR="001B240F">
        <w:rPr>
          <w:szCs w:val="24"/>
        </w:rPr>
        <w:t>43 TexReg 7561</w:t>
      </w:r>
      <w:r w:rsidRPr="000719B4">
        <w:rPr>
          <w:szCs w:val="24"/>
        </w:rPr>
        <w:t>).</w:t>
      </w:r>
    </w:p>
    <w:p w:rsidR="00141B02" w:rsidRPr="000719B4" w:rsidRDefault="00141B02" w:rsidP="00141B02">
      <w:pPr>
        <w:rPr>
          <w:szCs w:val="24"/>
        </w:rPr>
      </w:pPr>
    </w:p>
    <w:p w:rsidR="00141B02" w:rsidRPr="000719B4" w:rsidRDefault="00141B02" w:rsidP="00141B02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141B02" w:rsidRPr="000719B4" w:rsidRDefault="00141B02" w:rsidP="00141B02">
      <w:pPr>
        <w:rPr>
          <w:szCs w:val="24"/>
        </w:rPr>
      </w:pPr>
    </w:p>
    <w:p w:rsidR="00141B02" w:rsidRPr="000719B4" w:rsidRDefault="003E0005" w:rsidP="00141B02">
      <w:pPr>
        <w:rPr>
          <w:szCs w:val="24"/>
        </w:rPr>
      </w:pPr>
      <w:r>
        <w:rPr>
          <w:szCs w:val="24"/>
        </w:rPr>
        <w:t>TWC</w:t>
      </w:r>
      <w:r w:rsidR="00141B02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141B02" w:rsidRPr="000719B4">
        <w:rPr>
          <w:szCs w:val="24"/>
        </w:rPr>
        <w:t xml:space="preserve"> fin</w:t>
      </w:r>
      <w:r w:rsidR="00141B02">
        <w:rPr>
          <w:szCs w:val="24"/>
        </w:rPr>
        <w:t xml:space="preserve">ds that the rules in </w:t>
      </w:r>
      <w:r w:rsidR="00141B02" w:rsidRPr="001B635B">
        <w:rPr>
          <w:szCs w:val="24"/>
        </w:rPr>
        <w:t>Chapter 800</w:t>
      </w:r>
      <w:r w:rsidR="00141B02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1B240F">
        <w:rPr>
          <w:szCs w:val="24"/>
        </w:rPr>
        <w:t xml:space="preserve">. </w:t>
      </w:r>
      <w:r w:rsidR="00141B02" w:rsidRPr="000719B4">
        <w:rPr>
          <w:szCs w:val="24"/>
        </w:rPr>
        <w:t>The reasons for initially 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141B02" w:rsidRPr="000719B4">
        <w:rPr>
          <w:szCs w:val="24"/>
        </w:rPr>
        <w:t xml:space="preserve">, therefore, readopts </w:t>
      </w:r>
      <w:r w:rsidR="00141B02" w:rsidRPr="001B635B">
        <w:rPr>
          <w:szCs w:val="24"/>
        </w:rPr>
        <w:t>Chapter 800, General Administration</w:t>
      </w:r>
      <w:r w:rsidR="00141B02" w:rsidRPr="000719B4">
        <w:rPr>
          <w:szCs w:val="24"/>
        </w:rPr>
        <w:t>.</w:t>
      </w:r>
    </w:p>
    <w:p w:rsidR="00141B02" w:rsidRDefault="00141B02" w:rsidP="00141B02">
      <w:pPr>
        <w:rPr>
          <w:szCs w:val="24"/>
        </w:rPr>
      </w:pPr>
    </w:p>
    <w:p w:rsidR="00141B02" w:rsidRDefault="00141B02" w:rsidP="00141B02">
      <w:pPr>
        <w:rPr>
          <w:szCs w:val="24"/>
        </w:rPr>
      </w:pPr>
    </w:p>
    <w:p w:rsidR="009C47D3" w:rsidRDefault="009C47D3" w:rsidP="00141B02">
      <w:pPr>
        <w:rPr>
          <w:szCs w:val="24"/>
        </w:rPr>
      </w:pPr>
    </w:p>
    <w:p w:rsidR="009C47D3" w:rsidRDefault="009C47D3" w:rsidP="00141B02">
      <w:pPr>
        <w:rPr>
          <w:szCs w:val="24"/>
        </w:rPr>
      </w:pPr>
    </w:p>
    <w:p w:rsidR="00141B02" w:rsidRDefault="00141B02" w:rsidP="00141B02">
      <w:pPr>
        <w:rPr>
          <w:b/>
        </w:rPr>
      </w:pPr>
      <w:r>
        <w:rPr>
          <w:b/>
        </w:rPr>
        <w:t>CHAPTER 801.  LOCAL WORKFORCE DEVELOPMENT BOARDS</w:t>
      </w:r>
    </w:p>
    <w:p w:rsidR="00141B02" w:rsidRPr="00ED5774" w:rsidRDefault="00141B02" w:rsidP="00141B02">
      <w:pPr>
        <w:rPr>
          <w:sz w:val="16"/>
          <w:szCs w:val="16"/>
        </w:rPr>
      </w:pPr>
    </w:p>
    <w:p w:rsidR="00141B02" w:rsidRPr="00DA180C" w:rsidRDefault="00141B02" w:rsidP="00141B02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ED5774" w:rsidRDefault="00347000" w:rsidP="00141B02">
      <w:pPr>
        <w:rPr>
          <w:sz w:val="16"/>
          <w:szCs w:val="16"/>
        </w:rPr>
      </w:pPr>
    </w:p>
    <w:p w:rsidR="00141B02" w:rsidRPr="000719B4" w:rsidRDefault="00141B02" w:rsidP="00141B02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>adopts the review of Chapter 801, Local Workforce Development Boards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1B240F">
        <w:rPr>
          <w:szCs w:val="24"/>
        </w:rPr>
        <w:t>2001.039.</w:t>
      </w:r>
      <w:r w:rsidRPr="000719B4">
        <w:rPr>
          <w:szCs w:val="24"/>
        </w:rPr>
        <w:t xml:space="preserve"> </w:t>
      </w:r>
      <w:r w:rsidR="001B240F" w:rsidRPr="000719B4">
        <w:rPr>
          <w:szCs w:val="24"/>
        </w:rPr>
        <w:t>The proposed notice of intent to review rules w</w:t>
      </w:r>
      <w:r w:rsidR="001B240F">
        <w:rPr>
          <w:szCs w:val="24"/>
        </w:rPr>
        <w:t xml:space="preserve">as published in the November 16, 2018, </w:t>
      </w:r>
      <w:r w:rsidR="001B240F" w:rsidRPr="000719B4">
        <w:rPr>
          <w:szCs w:val="24"/>
        </w:rPr>
        <w:t xml:space="preserve">issue of the </w:t>
      </w:r>
      <w:r w:rsidR="001B240F" w:rsidRPr="000719B4">
        <w:rPr>
          <w:i/>
          <w:szCs w:val="24"/>
        </w:rPr>
        <w:t>Texas Register</w:t>
      </w:r>
      <w:r w:rsidR="001B240F">
        <w:rPr>
          <w:szCs w:val="24"/>
        </w:rPr>
        <w:t xml:space="preserve"> (43 TexReg 7561</w:t>
      </w:r>
      <w:r w:rsidR="001B240F" w:rsidRPr="000719B4">
        <w:rPr>
          <w:szCs w:val="24"/>
        </w:rPr>
        <w:t>).</w:t>
      </w:r>
    </w:p>
    <w:p w:rsidR="00141B02" w:rsidRPr="000719B4" w:rsidRDefault="00141B02" w:rsidP="00141B02">
      <w:pPr>
        <w:rPr>
          <w:szCs w:val="24"/>
        </w:rPr>
      </w:pPr>
    </w:p>
    <w:p w:rsidR="00141B02" w:rsidRPr="000719B4" w:rsidRDefault="00141B02" w:rsidP="00141B02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141B02" w:rsidRPr="000719B4" w:rsidRDefault="00141B02" w:rsidP="00141B02">
      <w:pPr>
        <w:rPr>
          <w:szCs w:val="24"/>
        </w:rPr>
      </w:pPr>
    </w:p>
    <w:p w:rsidR="00141B02" w:rsidRPr="000719B4" w:rsidRDefault="003E0005" w:rsidP="00141B02">
      <w:pPr>
        <w:rPr>
          <w:szCs w:val="24"/>
        </w:rPr>
      </w:pPr>
      <w:r>
        <w:rPr>
          <w:szCs w:val="24"/>
        </w:rPr>
        <w:t>TWC</w:t>
      </w:r>
      <w:r w:rsidR="00141B02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141B02" w:rsidRPr="000719B4">
        <w:rPr>
          <w:szCs w:val="24"/>
        </w:rPr>
        <w:t xml:space="preserve"> fin</w:t>
      </w:r>
      <w:r w:rsidR="00141B02">
        <w:rPr>
          <w:szCs w:val="24"/>
        </w:rPr>
        <w:t>ds that the rules in Chapter 801</w:t>
      </w:r>
      <w:r w:rsidR="00141B02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1B240F">
        <w:rPr>
          <w:szCs w:val="24"/>
        </w:rPr>
        <w:t xml:space="preserve">. </w:t>
      </w:r>
      <w:r w:rsidR="00141B02" w:rsidRPr="000719B4">
        <w:rPr>
          <w:szCs w:val="24"/>
        </w:rPr>
        <w:t>The reasons for initially 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141B02" w:rsidRPr="000719B4">
        <w:rPr>
          <w:szCs w:val="24"/>
        </w:rPr>
        <w:t xml:space="preserve">, therefore, readopts </w:t>
      </w:r>
      <w:r w:rsidR="00141B02">
        <w:rPr>
          <w:szCs w:val="24"/>
        </w:rPr>
        <w:t>Chapter 801, Local Workforce Development Boards</w:t>
      </w:r>
      <w:r w:rsidR="00141B02" w:rsidRPr="000719B4">
        <w:rPr>
          <w:szCs w:val="24"/>
        </w:rPr>
        <w:t>.</w:t>
      </w:r>
    </w:p>
    <w:p w:rsidR="000947DB" w:rsidRDefault="000947DB" w:rsidP="00C01877">
      <w:pPr>
        <w:rPr>
          <w:b/>
        </w:rPr>
      </w:pPr>
    </w:p>
    <w:p w:rsidR="000947DB" w:rsidRPr="000719B4" w:rsidRDefault="000947DB" w:rsidP="0034201F">
      <w:pPr>
        <w:rPr>
          <w:szCs w:val="24"/>
        </w:rPr>
      </w:pPr>
      <w:r>
        <w:rPr>
          <w:b/>
        </w:rPr>
        <w:br w:type="page"/>
      </w:r>
    </w:p>
    <w:p w:rsidR="0034201F" w:rsidRDefault="0034201F" w:rsidP="000947DB">
      <w:pPr>
        <w:rPr>
          <w:b/>
        </w:rPr>
      </w:pPr>
    </w:p>
    <w:p w:rsidR="000947DB" w:rsidRDefault="00732D16" w:rsidP="000947DB">
      <w:pPr>
        <w:rPr>
          <w:b/>
        </w:rPr>
      </w:pPr>
      <w:r>
        <w:rPr>
          <w:b/>
        </w:rPr>
        <w:t>CHAPTER 803</w:t>
      </w:r>
      <w:r w:rsidR="000947DB" w:rsidRPr="00732D16">
        <w:rPr>
          <w:b/>
        </w:rPr>
        <w:t xml:space="preserve">.  </w:t>
      </w:r>
      <w:r>
        <w:rPr>
          <w:b/>
        </w:rPr>
        <w:t>SKILLS DEVELOPMENT FUND</w:t>
      </w:r>
    </w:p>
    <w:p w:rsidR="000947DB" w:rsidRPr="00ED5774" w:rsidRDefault="000947DB" w:rsidP="000947DB">
      <w:pPr>
        <w:rPr>
          <w:sz w:val="16"/>
          <w:szCs w:val="16"/>
        </w:rPr>
      </w:pPr>
    </w:p>
    <w:p w:rsidR="000947DB" w:rsidRPr="00DA180C" w:rsidRDefault="000947DB" w:rsidP="000947DB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0947DB" w:rsidRPr="00ED5774" w:rsidRDefault="000947DB" w:rsidP="000947DB">
      <w:pPr>
        <w:rPr>
          <w:sz w:val="16"/>
          <w:szCs w:val="16"/>
        </w:rPr>
      </w:pPr>
    </w:p>
    <w:p w:rsidR="000947DB" w:rsidRPr="000719B4" w:rsidRDefault="000947DB" w:rsidP="000947DB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 w:rsidR="00732D16">
        <w:rPr>
          <w:szCs w:val="24"/>
        </w:rPr>
        <w:t>adopts the review of Chapter 803</w:t>
      </w:r>
      <w:r>
        <w:rPr>
          <w:szCs w:val="24"/>
        </w:rPr>
        <w:t xml:space="preserve">, </w:t>
      </w:r>
      <w:r w:rsidR="00732D16">
        <w:rPr>
          <w:szCs w:val="24"/>
        </w:rPr>
        <w:t>Skills Development Fund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A14E21">
        <w:rPr>
          <w:szCs w:val="24"/>
        </w:rPr>
        <w:t xml:space="preserve">2001.039. </w:t>
      </w:r>
      <w:r w:rsidR="00A14E21" w:rsidRPr="000719B4">
        <w:rPr>
          <w:szCs w:val="24"/>
        </w:rPr>
        <w:t>The proposed notice of intent to review rules w</w:t>
      </w:r>
      <w:r w:rsidR="00A14E21">
        <w:rPr>
          <w:szCs w:val="24"/>
        </w:rPr>
        <w:t xml:space="preserve">as published in the November 16, 2018, </w:t>
      </w:r>
      <w:r w:rsidR="00A14E21" w:rsidRPr="000719B4">
        <w:rPr>
          <w:szCs w:val="24"/>
        </w:rPr>
        <w:t xml:space="preserve">issue of the </w:t>
      </w:r>
      <w:r w:rsidR="00A14E21" w:rsidRPr="000719B4">
        <w:rPr>
          <w:i/>
          <w:szCs w:val="24"/>
        </w:rPr>
        <w:t>Texas Register</w:t>
      </w:r>
      <w:r w:rsidR="00A14E21">
        <w:rPr>
          <w:szCs w:val="24"/>
        </w:rPr>
        <w:t xml:space="preserve"> (43 TexReg 7561</w:t>
      </w:r>
      <w:r w:rsidR="00A14E21" w:rsidRPr="000719B4">
        <w:rPr>
          <w:szCs w:val="24"/>
        </w:rPr>
        <w:t>).</w:t>
      </w:r>
    </w:p>
    <w:p w:rsidR="000947DB" w:rsidRPr="000719B4" w:rsidRDefault="000947DB" w:rsidP="000947DB">
      <w:pPr>
        <w:rPr>
          <w:szCs w:val="24"/>
        </w:rPr>
      </w:pPr>
    </w:p>
    <w:p w:rsidR="000947DB" w:rsidRPr="000719B4" w:rsidRDefault="000947DB" w:rsidP="000947DB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0947DB" w:rsidRPr="000719B4" w:rsidRDefault="000947DB" w:rsidP="000947DB">
      <w:pPr>
        <w:rPr>
          <w:szCs w:val="24"/>
        </w:rPr>
      </w:pPr>
    </w:p>
    <w:p w:rsidR="000947DB" w:rsidRPr="000719B4" w:rsidRDefault="003E0005" w:rsidP="000947DB">
      <w:pPr>
        <w:rPr>
          <w:szCs w:val="24"/>
        </w:rPr>
      </w:pPr>
      <w:r>
        <w:rPr>
          <w:szCs w:val="24"/>
        </w:rPr>
        <w:t>TWC</w:t>
      </w:r>
      <w:r w:rsidR="000947DB" w:rsidRPr="000719B4">
        <w:rPr>
          <w:szCs w:val="24"/>
        </w:rPr>
        <w:t xml:space="preserve"> has assessed whether the reasons for adopting or readopting the rules continue to exist.  </w:t>
      </w:r>
      <w:r>
        <w:rPr>
          <w:szCs w:val="24"/>
        </w:rPr>
        <w:t>TWC</w:t>
      </w:r>
      <w:r w:rsidR="000947DB" w:rsidRPr="000719B4">
        <w:rPr>
          <w:szCs w:val="24"/>
        </w:rPr>
        <w:t xml:space="preserve"> fin</w:t>
      </w:r>
      <w:r w:rsidR="00732D16">
        <w:rPr>
          <w:szCs w:val="24"/>
        </w:rPr>
        <w:t>ds that the rules in Chapter 803</w:t>
      </w:r>
      <w:r w:rsidR="000947DB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A14E21">
        <w:rPr>
          <w:szCs w:val="24"/>
        </w:rPr>
        <w:t xml:space="preserve">. </w:t>
      </w:r>
      <w:r w:rsidR="000947DB" w:rsidRPr="000719B4">
        <w:rPr>
          <w:szCs w:val="24"/>
        </w:rPr>
        <w:t>The reasons for initially adoptin</w:t>
      </w:r>
      <w:r w:rsidR="00A14E21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0947DB" w:rsidRPr="000719B4">
        <w:rPr>
          <w:szCs w:val="24"/>
        </w:rPr>
        <w:t xml:space="preserve">, therefore, readopts </w:t>
      </w:r>
      <w:r w:rsidR="00732D16">
        <w:rPr>
          <w:szCs w:val="24"/>
        </w:rPr>
        <w:t>Chapter 803, Skills Development Fund</w:t>
      </w:r>
      <w:r w:rsidR="000947DB" w:rsidRPr="000719B4">
        <w:rPr>
          <w:szCs w:val="24"/>
        </w:rPr>
        <w:t>.</w:t>
      </w:r>
    </w:p>
    <w:p w:rsidR="0034201F" w:rsidRDefault="0034201F" w:rsidP="001A065C">
      <w:pPr>
        <w:rPr>
          <w:b/>
        </w:rPr>
      </w:pPr>
    </w:p>
    <w:p w:rsidR="0034201F" w:rsidRDefault="0034201F" w:rsidP="001A065C">
      <w:pPr>
        <w:rPr>
          <w:b/>
        </w:rPr>
      </w:pPr>
    </w:p>
    <w:p w:rsidR="0034201F" w:rsidRDefault="0034201F" w:rsidP="001A065C">
      <w:pPr>
        <w:rPr>
          <w:b/>
        </w:rPr>
      </w:pPr>
    </w:p>
    <w:p w:rsidR="0034201F" w:rsidRDefault="0034201F" w:rsidP="001A065C">
      <w:pPr>
        <w:rPr>
          <w:b/>
        </w:rPr>
      </w:pPr>
    </w:p>
    <w:p w:rsidR="001A065C" w:rsidRDefault="001A065C" w:rsidP="001A065C">
      <w:pPr>
        <w:rPr>
          <w:b/>
        </w:rPr>
      </w:pPr>
      <w:r>
        <w:rPr>
          <w:b/>
        </w:rPr>
        <w:t>CHAPTER 813.  SUPPLEMENTAL NUTRITION ASSISTANCE PROGRAM EMPLOYMENT AND TRAINING</w:t>
      </w:r>
    </w:p>
    <w:p w:rsidR="001A065C" w:rsidRPr="00ED5774" w:rsidRDefault="001A065C" w:rsidP="001A065C">
      <w:pPr>
        <w:rPr>
          <w:sz w:val="16"/>
          <w:szCs w:val="16"/>
        </w:rPr>
      </w:pPr>
    </w:p>
    <w:p w:rsidR="001A065C" w:rsidRPr="00DA180C" w:rsidRDefault="001A065C" w:rsidP="001A065C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0719B4" w:rsidRDefault="00347000" w:rsidP="001A065C">
      <w:pPr>
        <w:rPr>
          <w:szCs w:val="24"/>
        </w:rPr>
      </w:pPr>
    </w:p>
    <w:p w:rsidR="001A065C" w:rsidRPr="000719B4" w:rsidRDefault="001A065C" w:rsidP="001A065C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>adopts the review of Chapter 813, Supplemental Nutrition Assistance Program Employment and Training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F9428D">
        <w:rPr>
          <w:szCs w:val="24"/>
        </w:rPr>
        <w:t xml:space="preserve">2001.039. </w:t>
      </w:r>
      <w:r w:rsidR="00A14E21" w:rsidRPr="000719B4">
        <w:rPr>
          <w:szCs w:val="24"/>
        </w:rPr>
        <w:t>The proposed notice of intent to review rules w</w:t>
      </w:r>
      <w:r w:rsidR="00A14E21">
        <w:rPr>
          <w:szCs w:val="24"/>
        </w:rPr>
        <w:t xml:space="preserve">as published in the November 16, 2018, </w:t>
      </w:r>
      <w:r w:rsidR="00A14E21" w:rsidRPr="000719B4">
        <w:rPr>
          <w:szCs w:val="24"/>
        </w:rPr>
        <w:t xml:space="preserve">issue of the </w:t>
      </w:r>
      <w:r w:rsidR="00A14E21" w:rsidRPr="000719B4">
        <w:rPr>
          <w:i/>
          <w:szCs w:val="24"/>
        </w:rPr>
        <w:t>Texas Register</w:t>
      </w:r>
      <w:r w:rsidR="00A14E21">
        <w:rPr>
          <w:szCs w:val="24"/>
        </w:rPr>
        <w:t xml:space="preserve"> (43 TexReg 7561</w:t>
      </w:r>
      <w:r w:rsidR="00A14E21" w:rsidRPr="000719B4">
        <w:rPr>
          <w:szCs w:val="24"/>
        </w:rPr>
        <w:t>).</w:t>
      </w:r>
    </w:p>
    <w:p w:rsidR="001A065C" w:rsidRPr="000719B4" w:rsidRDefault="001A065C" w:rsidP="001A065C">
      <w:pPr>
        <w:rPr>
          <w:szCs w:val="24"/>
        </w:rPr>
      </w:pPr>
    </w:p>
    <w:p w:rsidR="001A065C" w:rsidRPr="000719B4" w:rsidRDefault="001A065C" w:rsidP="001A065C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1A065C" w:rsidRPr="000719B4" w:rsidRDefault="001A065C" w:rsidP="001A065C">
      <w:pPr>
        <w:rPr>
          <w:szCs w:val="24"/>
        </w:rPr>
      </w:pPr>
    </w:p>
    <w:p w:rsidR="001A065C" w:rsidRPr="000719B4" w:rsidRDefault="003E0005" w:rsidP="001A065C">
      <w:pPr>
        <w:rPr>
          <w:szCs w:val="24"/>
        </w:rPr>
      </w:pPr>
      <w:r>
        <w:rPr>
          <w:szCs w:val="24"/>
        </w:rPr>
        <w:t>TWC</w:t>
      </w:r>
      <w:r w:rsidR="001A065C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1A065C" w:rsidRPr="000719B4">
        <w:rPr>
          <w:szCs w:val="24"/>
        </w:rPr>
        <w:t xml:space="preserve"> fin</w:t>
      </w:r>
      <w:r w:rsidR="001A065C">
        <w:rPr>
          <w:szCs w:val="24"/>
        </w:rPr>
        <w:t>ds that the rules in Chapter 813</w:t>
      </w:r>
      <w:r w:rsidR="001A065C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F9428D">
        <w:rPr>
          <w:szCs w:val="24"/>
        </w:rPr>
        <w:t xml:space="preserve">. </w:t>
      </w:r>
      <w:r w:rsidR="001A065C" w:rsidRPr="000719B4">
        <w:rPr>
          <w:szCs w:val="24"/>
        </w:rPr>
        <w:t xml:space="preserve">The reasons for initially adopting the rules continue to exist.  </w:t>
      </w:r>
      <w:r>
        <w:rPr>
          <w:szCs w:val="24"/>
        </w:rPr>
        <w:t>TWC</w:t>
      </w:r>
      <w:r w:rsidR="001A065C" w:rsidRPr="000719B4">
        <w:rPr>
          <w:szCs w:val="24"/>
        </w:rPr>
        <w:t xml:space="preserve">, therefore, readopts </w:t>
      </w:r>
      <w:r w:rsidR="001A065C">
        <w:rPr>
          <w:szCs w:val="24"/>
        </w:rPr>
        <w:t>Chapter 813, Supplemental Nutrition Assistance Program Employment and Training</w:t>
      </w:r>
      <w:r w:rsidR="001A065C" w:rsidRPr="000719B4">
        <w:rPr>
          <w:szCs w:val="24"/>
        </w:rPr>
        <w:t>.</w:t>
      </w:r>
    </w:p>
    <w:p w:rsidR="001A065C" w:rsidRDefault="001A065C" w:rsidP="001A065C">
      <w:pPr>
        <w:rPr>
          <w:szCs w:val="24"/>
        </w:rPr>
      </w:pPr>
    </w:p>
    <w:p w:rsidR="009C47D3" w:rsidRDefault="009C47D3" w:rsidP="001A065C">
      <w:pPr>
        <w:rPr>
          <w:b/>
        </w:rPr>
      </w:pPr>
    </w:p>
    <w:p w:rsidR="009C47D3" w:rsidRDefault="009C47D3" w:rsidP="001A065C">
      <w:pPr>
        <w:rPr>
          <w:b/>
        </w:rPr>
      </w:pPr>
    </w:p>
    <w:p w:rsidR="009C47D3" w:rsidRDefault="009C47D3" w:rsidP="001A065C">
      <w:pPr>
        <w:rPr>
          <w:b/>
        </w:rPr>
      </w:pPr>
    </w:p>
    <w:p w:rsidR="001A065C" w:rsidRDefault="001A065C" w:rsidP="001A065C">
      <w:pPr>
        <w:rPr>
          <w:b/>
        </w:rPr>
      </w:pPr>
      <w:r>
        <w:rPr>
          <w:b/>
        </w:rPr>
        <w:t>CHAPTER 815.  UNEMPLOYMENT INSURANCE</w:t>
      </w:r>
    </w:p>
    <w:p w:rsidR="001A065C" w:rsidRPr="00ED5774" w:rsidRDefault="001A065C" w:rsidP="001A065C">
      <w:pPr>
        <w:rPr>
          <w:sz w:val="16"/>
          <w:szCs w:val="16"/>
        </w:rPr>
      </w:pPr>
    </w:p>
    <w:p w:rsidR="001A065C" w:rsidRPr="00DA180C" w:rsidRDefault="001A065C" w:rsidP="001A065C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0719B4" w:rsidRDefault="00347000" w:rsidP="001A065C">
      <w:pPr>
        <w:rPr>
          <w:szCs w:val="24"/>
        </w:rPr>
      </w:pPr>
    </w:p>
    <w:p w:rsidR="001A065C" w:rsidRPr="000719B4" w:rsidRDefault="001A065C" w:rsidP="001A065C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>adopts the review of Chapter 815, Unemployment Insurance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F9428D">
        <w:rPr>
          <w:szCs w:val="24"/>
        </w:rPr>
        <w:t xml:space="preserve">2001.039. </w:t>
      </w:r>
      <w:r w:rsidR="004826BF" w:rsidRPr="000719B4">
        <w:rPr>
          <w:szCs w:val="24"/>
        </w:rPr>
        <w:t>The proposed notice of intent to review rules w</w:t>
      </w:r>
      <w:r w:rsidR="004826BF">
        <w:rPr>
          <w:szCs w:val="24"/>
        </w:rPr>
        <w:t xml:space="preserve">as published in the November 16, 2018, </w:t>
      </w:r>
      <w:r w:rsidR="004826BF" w:rsidRPr="000719B4">
        <w:rPr>
          <w:szCs w:val="24"/>
        </w:rPr>
        <w:t xml:space="preserve">issue of the </w:t>
      </w:r>
      <w:r w:rsidR="004826BF" w:rsidRPr="000719B4">
        <w:rPr>
          <w:i/>
          <w:szCs w:val="24"/>
        </w:rPr>
        <w:t>Texas Register</w:t>
      </w:r>
      <w:r w:rsidR="004826BF">
        <w:rPr>
          <w:szCs w:val="24"/>
        </w:rPr>
        <w:t xml:space="preserve"> (43 TexReg 7561</w:t>
      </w:r>
      <w:r w:rsidR="004826BF" w:rsidRPr="000719B4">
        <w:rPr>
          <w:szCs w:val="24"/>
        </w:rPr>
        <w:t>).</w:t>
      </w:r>
    </w:p>
    <w:p w:rsidR="001A065C" w:rsidRPr="000719B4" w:rsidRDefault="001A065C" w:rsidP="001A065C">
      <w:pPr>
        <w:rPr>
          <w:szCs w:val="24"/>
        </w:rPr>
      </w:pPr>
    </w:p>
    <w:p w:rsidR="001A065C" w:rsidRPr="000719B4" w:rsidRDefault="001A065C" w:rsidP="001A065C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1A065C" w:rsidRPr="000719B4" w:rsidRDefault="001A065C" w:rsidP="001A065C">
      <w:pPr>
        <w:rPr>
          <w:szCs w:val="24"/>
        </w:rPr>
      </w:pPr>
    </w:p>
    <w:p w:rsidR="001A065C" w:rsidRPr="000719B4" w:rsidRDefault="003E0005" w:rsidP="001A065C">
      <w:pPr>
        <w:rPr>
          <w:szCs w:val="24"/>
        </w:rPr>
      </w:pPr>
      <w:r>
        <w:rPr>
          <w:szCs w:val="24"/>
        </w:rPr>
        <w:t>TWC</w:t>
      </w:r>
      <w:r w:rsidR="001A065C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1A065C" w:rsidRPr="000719B4">
        <w:rPr>
          <w:szCs w:val="24"/>
        </w:rPr>
        <w:t xml:space="preserve"> fin</w:t>
      </w:r>
      <w:r w:rsidR="001A065C">
        <w:rPr>
          <w:szCs w:val="24"/>
        </w:rPr>
        <w:t>ds that the rules in Chapter 815</w:t>
      </w:r>
      <w:r w:rsidR="001A065C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F9428D">
        <w:rPr>
          <w:szCs w:val="24"/>
        </w:rPr>
        <w:t xml:space="preserve">. </w:t>
      </w:r>
      <w:r w:rsidR="001A065C" w:rsidRPr="000719B4">
        <w:rPr>
          <w:szCs w:val="24"/>
        </w:rPr>
        <w:t xml:space="preserve">The reasons for initially adopting the rules continue to exist.  </w:t>
      </w:r>
      <w:r>
        <w:rPr>
          <w:szCs w:val="24"/>
        </w:rPr>
        <w:t>TWC</w:t>
      </w:r>
      <w:r w:rsidR="001A065C" w:rsidRPr="000719B4">
        <w:rPr>
          <w:szCs w:val="24"/>
        </w:rPr>
        <w:t xml:space="preserve">, therefore, readopts </w:t>
      </w:r>
      <w:r w:rsidR="001A065C">
        <w:rPr>
          <w:szCs w:val="24"/>
        </w:rPr>
        <w:t>Chapter 815, Unemployment Insurance</w:t>
      </w:r>
      <w:r w:rsidR="001A065C" w:rsidRPr="000719B4">
        <w:rPr>
          <w:szCs w:val="24"/>
        </w:rPr>
        <w:t>.</w:t>
      </w:r>
    </w:p>
    <w:p w:rsidR="0034201F" w:rsidRDefault="0034201F" w:rsidP="00272FA0">
      <w:pPr>
        <w:rPr>
          <w:b/>
        </w:rPr>
      </w:pPr>
    </w:p>
    <w:p w:rsidR="0034201F" w:rsidRDefault="0034201F" w:rsidP="00272FA0">
      <w:pPr>
        <w:rPr>
          <w:b/>
        </w:rPr>
      </w:pPr>
    </w:p>
    <w:p w:rsidR="0034201F" w:rsidRDefault="0034201F" w:rsidP="00272FA0">
      <w:pPr>
        <w:rPr>
          <w:b/>
        </w:rPr>
      </w:pPr>
    </w:p>
    <w:p w:rsidR="00272FA0" w:rsidRDefault="00272FA0" w:rsidP="00272FA0">
      <w:pPr>
        <w:rPr>
          <w:b/>
        </w:rPr>
      </w:pPr>
      <w:r>
        <w:rPr>
          <w:b/>
        </w:rPr>
        <w:t>CHAPTER 81</w:t>
      </w:r>
      <w:r w:rsidR="00470FA4">
        <w:rPr>
          <w:b/>
        </w:rPr>
        <w:t>7</w:t>
      </w:r>
      <w:r>
        <w:rPr>
          <w:b/>
        </w:rPr>
        <w:t xml:space="preserve">.  </w:t>
      </w:r>
      <w:r w:rsidR="00470FA4">
        <w:rPr>
          <w:b/>
        </w:rPr>
        <w:t>CHILD LABOR</w:t>
      </w:r>
    </w:p>
    <w:p w:rsidR="00272FA0" w:rsidRPr="00ED5774" w:rsidRDefault="00272FA0" w:rsidP="00272FA0">
      <w:pPr>
        <w:rPr>
          <w:sz w:val="16"/>
          <w:szCs w:val="16"/>
        </w:rPr>
      </w:pPr>
    </w:p>
    <w:p w:rsidR="00272FA0" w:rsidRPr="00DA180C" w:rsidRDefault="00272FA0" w:rsidP="00272FA0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0719B4" w:rsidRDefault="00347000" w:rsidP="00272FA0">
      <w:pPr>
        <w:rPr>
          <w:szCs w:val="24"/>
        </w:rPr>
      </w:pPr>
    </w:p>
    <w:p w:rsidR="00272FA0" w:rsidRPr="000719B4" w:rsidRDefault="00272FA0" w:rsidP="00272FA0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>adopts the review of Chapter 8</w:t>
      </w:r>
      <w:r w:rsidR="00470FA4">
        <w:rPr>
          <w:szCs w:val="24"/>
        </w:rPr>
        <w:t>17</w:t>
      </w:r>
      <w:r>
        <w:rPr>
          <w:szCs w:val="24"/>
        </w:rPr>
        <w:t xml:space="preserve">, </w:t>
      </w:r>
      <w:r w:rsidR="00470FA4">
        <w:rPr>
          <w:szCs w:val="24"/>
        </w:rPr>
        <w:t>Child Labor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F9428D">
        <w:rPr>
          <w:szCs w:val="24"/>
        </w:rPr>
        <w:t xml:space="preserve">2001.039. </w:t>
      </w:r>
      <w:r w:rsidR="004826BF" w:rsidRPr="000719B4">
        <w:rPr>
          <w:szCs w:val="24"/>
        </w:rPr>
        <w:t>The proposed notice of intent to review rules w</w:t>
      </w:r>
      <w:r w:rsidR="004826BF">
        <w:rPr>
          <w:szCs w:val="24"/>
        </w:rPr>
        <w:t xml:space="preserve">as published in the November 16, 2018, </w:t>
      </w:r>
      <w:r w:rsidR="004826BF" w:rsidRPr="000719B4">
        <w:rPr>
          <w:szCs w:val="24"/>
        </w:rPr>
        <w:t xml:space="preserve">issue of the </w:t>
      </w:r>
      <w:r w:rsidR="004826BF" w:rsidRPr="000719B4">
        <w:rPr>
          <w:i/>
          <w:szCs w:val="24"/>
        </w:rPr>
        <w:t>Texas Register</w:t>
      </w:r>
      <w:r w:rsidR="004826BF">
        <w:rPr>
          <w:szCs w:val="24"/>
        </w:rPr>
        <w:t xml:space="preserve"> (43 TexReg 7561</w:t>
      </w:r>
      <w:r w:rsidR="004826BF" w:rsidRPr="000719B4">
        <w:rPr>
          <w:szCs w:val="24"/>
        </w:rPr>
        <w:t>).</w:t>
      </w:r>
    </w:p>
    <w:p w:rsidR="00272FA0" w:rsidRPr="000719B4" w:rsidRDefault="00272FA0" w:rsidP="00272FA0">
      <w:pPr>
        <w:rPr>
          <w:szCs w:val="24"/>
        </w:rPr>
      </w:pPr>
    </w:p>
    <w:p w:rsidR="00272FA0" w:rsidRPr="000719B4" w:rsidRDefault="00272FA0" w:rsidP="00272FA0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272FA0" w:rsidRPr="000719B4" w:rsidRDefault="00272FA0" w:rsidP="00272FA0">
      <w:pPr>
        <w:rPr>
          <w:szCs w:val="24"/>
        </w:rPr>
      </w:pPr>
    </w:p>
    <w:p w:rsidR="00272FA0" w:rsidRPr="000719B4" w:rsidRDefault="003E0005" w:rsidP="00272FA0">
      <w:pPr>
        <w:rPr>
          <w:szCs w:val="24"/>
        </w:rPr>
      </w:pPr>
      <w:r>
        <w:rPr>
          <w:szCs w:val="24"/>
        </w:rPr>
        <w:t>TWC</w:t>
      </w:r>
      <w:r w:rsidR="00272FA0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272FA0" w:rsidRPr="000719B4">
        <w:rPr>
          <w:szCs w:val="24"/>
        </w:rPr>
        <w:t xml:space="preserve"> fin</w:t>
      </w:r>
      <w:r w:rsidR="00272FA0">
        <w:rPr>
          <w:szCs w:val="24"/>
        </w:rPr>
        <w:t>ds that the rules in Chapter 8</w:t>
      </w:r>
      <w:r w:rsidR="00470FA4">
        <w:rPr>
          <w:szCs w:val="24"/>
        </w:rPr>
        <w:t>17</w:t>
      </w:r>
      <w:r w:rsidR="00272FA0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F9428D">
        <w:rPr>
          <w:szCs w:val="24"/>
        </w:rPr>
        <w:t xml:space="preserve">. </w:t>
      </w:r>
      <w:r w:rsidR="00272FA0" w:rsidRPr="000719B4">
        <w:rPr>
          <w:szCs w:val="24"/>
        </w:rPr>
        <w:t>The reasons for initially adoptin</w:t>
      </w:r>
      <w:r w:rsidR="004826BF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272FA0" w:rsidRPr="000719B4">
        <w:rPr>
          <w:szCs w:val="24"/>
        </w:rPr>
        <w:t xml:space="preserve">, therefore, readopts </w:t>
      </w:r>
      <w:r w:rsidR="00272FA0">
        <w:rPr>
          <w:szCs w:val="24"/>
        </w:rPr>
        <w:t>Chapter 8</w:t>
      </w:r>
      <w:r w:rsidR="00470FA4">
        <w:rPr>
          <w:szCs w:val="24"/>
        </w:rPr>
        <w:t>17</w:t>
      </w:r>
      <w:r w:rsidR="00272FA0">
        <w:rPr>
          <w:szCs w:val="24"/>
        </w:rPr>
        <w:t xml:space="preserve">, </w:t>
      </w:r>
      <w:r w:rsidR="00470FA4">
        <w:rPr>
          <w:szCs w:val="24"/>
        </w:rPr>
        <w:t>Child Labor</w:t>
      </w:r>
      <w:r w:rsidR="00272FA0" w:rsidRPr="000719B4">
        <w:rPr>
          <w:szCs w:val="24"/>
        </w:rPr>
        <w:t>.</w:t>
      </w:r>
    </w:p>
    <w:p w:rsidR="00272FA0" w:rsidRDefault="00272FA0" w:rsidP="00272FA0">
      <w:pPr>
        <w:rPr>
          <w:szCs w:val="24"/>
        </w:rPr>
      </w:pPr>
    </w:p>
    <w:p w:rsidR="00EB3B11" w:rsidRDefault="00EB3B11" w:rsidP="00272FA0">
      <w:pPr>
        <w:rPr>
          <w:b/>
        </w:rPr>
      </w:pPr>
    </w:p>
    <w:p w:rsidR="0034201F" w:rsidRDefault="0034201F" w:rsidP="00272FA0">
      <w:pPr>
        <w:rPr>
          <w:b/>
        </w:rPr>
      </w:pPr>
    </w:p>
    <w:p w:rsidR="0034201F" w:rsidRDefault="0034201F" w:rsidP="00272FA0">
      <w:pPr>
        <w:rPr>
          <w:b/>
        </w:rPr>
      </w:pPr>
    </w:p>
    <w:p w:rsidR="0034201F" w:rsidRDefault="0034201F" w:rsidP="00272FA0">
      <w:pPr>
        <w:rPr>
          <w:b/>
        </w:rPr>
      </w:pPr>
    </w:p>
    <w:p w:rsidR="00EB3B11" w:rsidRDefault="00EB3B11" w:rsidP="00272FA0">
      <w:pPr>
        <w:rPr>
          <w:b/>
        </w:rPr>
      </w:pPr>
    </w:p>
    <w:p w:rsidR="00EB3B11" w:rsidRDefault="00EB3B11" w:rsidP="00272FA0">
      <w:pPr>
        <w:rPr>
          <w:b/>
        </w:rPr>
      </w:pPr>
    </w:p>
    <w:p w:rsidR="00F06921" w:rsidRDefault="00F06921" w:rsidP="00F06921">
      <w:pPr>
        <w:rPr>
          <w:b/>
        </w:rPr>
      </w:pPr>
      <w:r>
        <w:rPr>
          <w:b/>
        </w:rPr>
        <w:t>CHAPTER 821.  TEXAS PAYDAY RULES</w:t>
      </w:r>
    </w:p>
    <w:p w:rsidR="00F06921" w:rsidRPr="00ED5774" w:rsidRDefault="00F06921" w:rsidP="00F06921">
      <w:pPr>
        <w:rPr>
          <w:sz w:val="16"/>
          <w:szCs w:val="16"/>
        </w:rPr>
      </w:pPr>
    </w:p>
    <w:p w:rsidR="00F06921" w:rsidRPr="00DA180C" w:rsidRDefault="00F06921" w:rsidP="00F06921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0719B4" w:rsidRDefault="00347000" w:rsidP="00F06921">
      <w:pPr>
        <w:rPr>
          <w:szCs w:val="24"/>
        </w:rPr>
      </w:pPr>
    </w:p>
    <w:p w:rsidR="00F06921" w:rsidRPr="000719B4" w:rsidRDefault="00F06921" w:rsidP="00F06921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>adopts the review of Chapter 821, Texas Payday Rules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F9428D">
        <w:rPr>
          <w:szCs w:val="24"/>
        </w:rPr>
        <w:t xml:space="preserve">2001.039. </w:t>
      </w:r>
      <w:r w:rsidR="004826BF" w:rsidRPr="000719B4">
        <w:rPr>
          <w:szCs w:val="24"/>
        </w:rPr>
        <w:t>The proposed notice of intent to review rules w</w:t>
      </w:r>
      <w:r w:rsidR="004826BF">
        <w:rPr>
          <w:szCs w:val="24"/>
        </w:rPr>
        <w:t xml:space="preserve">as published in the November 16, 2018, </w:t>
      </w:r>
      <w:r w:rsidR="004826BF" w:rsidRPr="000719B4">
        <w:rPr>
          <w:szCs w:val="24"/>
        </w:rPr>
        <w:t xml:space="preserve">issue of the </w:t>
      </w:r>
      <w:r w:rsidR="004826BF" w:rsidRPr="000719B4">
        <w:rPr>
          <w:i/>
          <w:szCs w:val="24"/>
        </w:rPr>
        <w:t>Texas Register</w:t>
      </w:r>
      <w:r w:rsidR="004826BF">
        <w:rPr>
          <w:szCs w:val="24"/>
        </w:rPr>
        <w:t xml:space="preserve"> (43 TexReg 7561</w:t>
      </w:r>
      <w:r w:rsidR="004826BF" w:rsidRPr="000719B4">
        <w:rPr>
          <w:szCs w:val="24"/>
        </w:rPr>
        <w:t>).</w:t>
      </w:r>
    </w:p>
    <w:p w:rsidR="00F06921" w:rsidRPr="000719B4" w:rsidRDefault="00F06921" w:rsidP="00F06921">
      <w:pPr>
        <w:rPr>
          <w:szCs w:val="24"/>
        </w:rPr>
      </w:pPr>
    </w:p>
    <w:p w:rsidR="00F06921" w:rsidRPr="000719B4" w:rsidRDefault="00F06921" w:rsidP="00F06921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F06921" w:rsidRPr="000719B4" w:rsidRDefault="00F06921" w:rsidP="00F06921">
      <w:pPr>
        <w:rPr>
          <w:szCs w:val="24"/>
        </w:rPr>
      </w:pPr>
    </w:p>
    <w:p w:rsidR="00F06921" w:rsidRPr="000719B4" w:rsidRDefault="003E0005" w:rsidP="00F06921">
      <w:pPr>
        <w:rPr>
          <w:szCs w:val="24"/>
        </w:rPr>
      </w:pPr>
      <w:r>
        <w:rPr>
          <w:szCs w:val="24"/>
        </w:rPr>
        <w:t>TWC</w:t>
      </w:r>
      <w:r w:rsidR="00F06921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F06921" w:rsidRPr="000719B4">
        <w:rPr>
          <w:szCs w:val="24"/>
        </w:rPr>
        <w:t xml:space="preserve"> fin</w:t>
      </w:r>
      <w:r w:rsidR="00F06921">
        <w:rPr>
          <w:szCs w:val="24"/>
        </w:rPr>
        <w:t>ds that the rules in Chapter 821</w:t>
      </w:r>
      <w:r w:rsidR="00F06921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F9428D">
        <w:rPr>
          <w:szCs w:val="24"/>
        </w:rPr>
        <w:t xml:space="preserve">. </w:t>
      </w:r>
      <w:r w:rsidR="00F06921" w:rsidRPr="000719B4">
        <w:rPr>
          <w:szCs w:val="24"/>
        </w:rPr>
        <w:t>The reasons for initially adoptin</w:t>
      </w:r>
      <w:r w:rsidR="007547F5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F06921" w:rsidRPr="000719B4">
        <w:rPr>
          <w:szCs w:val="24"/>
        </w:rPr>
        <w:t xml:space="preserve">, therefore, readopts </w:t>
      </w:r>
      <w:r w:rsidR="00F06921">
        <w:rPr>
          <w:szCs w:val="24"/>
        </w:rPr>
        <w:t>Chapter 821, Texas Payday Rules</w:t>
      </w:r>
      <w:r w:rsidR="00F06921" w:rsidRPr="000719B4">
        <w:rPr>
          <w:szCs w:val="24"/>
        </w:rPr>
        <w:t>.</w:t>
      </w:r>
    </w:p>
    <w:p w:rsidR="00F06921" w:rsidRDefault="00F06921" w:rsidP="00753F61">
      <w:pPr>
        <w:rPr>
          <w:b/>
        </w:rPr>
      </w:pPr>
    </w:p>
    <w:p w:rsidR="00EB3B11" w:rsidRDefault="00EB3B11" w:rsidP="00753F61">
      <w:pPr>
        <w:rPr>
          <w:b/>
        </w:rPr>
      </w:pPr>
    </w:p>
    <w:p w:rsidR="0034201F" w:rsidRDefault="0034201F" w:rsidP="00753F61">
      <w:pPr>
        <w:rPr>
          <w:b/>
        </w:rPr>
      </w:pPr>
    </w:p>
    <w:p w:rsidR="00EB3B11" w:rsidRDefault="00EB3B11" w:rsidP="00753F61">
      <w:pPr>
        <w:rPr>
          <w:b/>
        </w:rPr>
      </w:pPr>
    </w:p>
    <w:p w:rsidR="00454960" w:rsidRDefault="00454960" w:rsidP="00454960">
      <w:pPr>
        <w:rPr>
          <w:b/>
        </w:rPr>
      </w:pPr>
      <w:r>
        <w:rPr>
          <w:b/>
        </w:rPr>
        <w:t>CHAPTER 843.  JOB MATCHING SERVICES</w:t>
      </w:r>
    </w:p>
    <w:p w:rsidR="00454960" w:rsidRPr="00ED5774" w:rsidRDefault="00454960" w:rsidP="00454960">
      <w:pPr>
        <w:rPr>
          <w:sz w:val="16"/>
          <w:szCs w:val="16"/>
        </w:rPr>
      </w:pPr>
    </w:p>
    <w:p w:rsidR="00454960" w:rsidRPr="00DA180C" w:rsidRDefault="00454960" w:rsidP="00454960">
      <w:pPr>
        <w:rPr>
          <w:b/>
          <w:i/>
        </w:rPr>
      </w:pPr>
      <w:r>
        <w:rPr>
          <w:b/>
        </w:rPr>
        <w:t>ADOPTED</w:t>
      </w:r>
      <w:r w:rsidRPr="00DA180C">
        <w:rPr>
          <w:b/>
        </w:rPr>
        <w:t xml:space="preserve"> RULE REVIEW TO BE SUBMITTED TO THE </w:t>
      </w:r>
      <w:r w:rsidRPr="00DA180C">
        <w:rPr>
          <w:b/>
          <w:i/>
        </w:rPr>
        <w:t>TEXAS REGISTER.</w:t>
      </w:r>
      <w:r w:rsidRPr="00DA180C">
        <w:rPr>
          <w:b/>
        </w:rPr>
        <w:t xml:space="preserve">  THIS DOCUMENT WILL HAVE NO SUBSTANTIVE CHANGES BUT IS SUBJECT TO FORMATTING CHANGES AS REQUIRED BY THE </w:t>
      </w:r>
      <w:smartTag w:uri="urn:schemas-microsoft-com:office:smarttags" w:element="State">
        <w:smartTag w:uri="urn:schemas-microsoft-com:office:smarttags" w:element="place">
          <w:r w:rsidRPr="00DA180C">
            <w:rPr>
              <w:b/>
              <w:i/>
            </w:rPr>
            <w:t>TEXAS</w:t>
          </w:r>
        </w:smartTag>
      </w:smartTag>
      <w:r w:rsidRPr="00DA180C">
        <w:rPr>
          <w:b/>
          <w:i/>
        </w:rPr>
        <w:t xml:space="preserve"> REGISTER.</w:t>
      </w:r>
    </w:p>
    <w:p w:rsidR="00347000" w:rsidRPr="00ED5774" w:rsidRDefault="00347000" w:rsidP="00454960">
      <w:pPr>
        <w:rPr>
          <w:sz w:val="16"/>
          <w:szCs w:val="16"/>
        </w:rPr>
      </w:pPr>
    </w:p>
    <w:p w:rsidR="00454960" w:rsidRPr="000719B4" w:rsidRDefault="00454960" w:rsidP="00454960">
      <w:pPr>
        <w:rPr>
          <w:szCs w:val="24"/>
        </w:rPr>
      </w:pPr>
      <w:r w:rsidRPr="000719B4">
        <w:rPr>
          <w:szCs w:val="24"/>
        </w:rPr>
        <w:t xml:space="preserve">The Texas Workforce Commission </w:t>
      </w:r>
      <w:r w:rsidR="00AD33BE">
        <w:rPr>
          <w:szCs w:val="24"/>
        </w:rPr>
        <w:t>(TWC)</w:t>
      </w:r>
      <w:r w:rsidRPr="000719B4">
        <w:rPr>
          <w:szCs w:val="24"/>
        </w:rPr>
        <w:t xml:space="preserve"> </w:t>
      </w:r>
      <w:r>
        <w:rPr>
          <w:szCs w:val="24"/>
        </w:rPr>
        <w:t>adopts the review of Chapter 843, Job Matching Services</w:t>
      </w:r>
      <w:r w:rsidRPr="000719B4">
        <w:rPr>
          <w:szCs w:val="24"/>
        </w:rPr>
        <w:t>, in accorda</w:t>
      </w:r>
      <w:r>
        <w:rPr>
          <w:szCs w:val="24"/>
        </w:rPr>
        <w:t>nce with Texas Government Code §</w:t>
      </w:r>
      <w:r w:rsidR="00F9428D">
        <w:rPr>
          <w:szCs w:val="24"/>
        </w:rPr>
        <w:t xml:space="preserve">2001.039. </w:t>
      </w:r>
      <w:r w:rsidR="004826BF" w:rsidRPr="000719B4">
        <w:rPr>
          <w:szCs w:val="24"/>
        </w:rPr>
        <w:t>The proposed notice of intent to review rules w</w:t>
      </w:r>
      <w:r w:rsidR="004826BF">
        <w:rPr>
          <w:szCs w:val="24"/>
        </w:rPr>
        <w:t xml:space="preserve">as published in the November 16, 2018, </w:t>
      </w:r>
      <w:r w:rsidR="004826BF" w:rsidRPr="000719B4">
        <w:rPr>
          <w:szCs w:val="24"/>
        </w:rPr>
        <w:t xml:space="preserve">issue of the </w:t>
      </w:r>
      <w:r w:rsidR="004826BF" w:rsidRPr="000719B4">
        <w:rPr>
          <w:i/>
          <w:szCs w:val="24"/>
        </w:rPr>
        <w:t>Texas Register</w:t>
      </w:r>
      <w:r w:rsidR="004826BF">
        <w:rPr>
          <w:szCs w:val="24"/>
        </w:rPr>
        <w:t xml:space="preserve"> (43 TexReg 7561</w:t>
      </w:r>
      <w:r w:rsidR="004826BF" w:rsidRPr="000719B4">
        <w:rPr>
          <w:szCs w:val="24"/>
        </w:rPr>
        <w:t>).</w:t>
      </w:r>
    </w:p>
    <w:p w:rsidR="00454960" w:rsidRPr="000719B4" w:rsidRDefault="00454960" w:rsidP="00454960">
      <w:pPr>
        <w:rPr>
          <w:szCs w:val="24"/>
        </w:rPr>
      </w:pPr>
    </w:p>
    <w:p w:rsidR="00454960" w:rsidRPr="000719B4" w:rsidRDefault="00454960" w:rsidP="00454960">
      <w:pPr>
        <w:rPr>
          <w:szCs w:val="24"/>
        </w:rPr>
      </w:pPr>
      <w:r w:rsidRPr="000719B4">
        <w:rPr>
          <w:szCs w:val="24"/>
        </w:rPr>
        <w:t>No comments were received on the proposed notice of intent.</w:t>
      </w:r>
      <w:r>
        <w:rPr>
          <w:szCs w:val="24"/>
        </w:rPr>
        <w:t xml:space="preserve">   </w:t>
      </w:r>
    </w:p>
    <w:p w:rsidR="00454960" w:rsidRPr="000719B4" w:rsidRDefault="00454960" w:rsidP="00454960">
      <w:pPr>
        <w:rPr>
          <w:szCs w:val="24"/>
        </w:rPr>
      </w:pPr>
    </w:p>
    <w:p w:rsidR="00454960" w:rsidRPr="000719B4" w:rsidRDefault="003E0005" w:rsidP="00454960">
      <w:pPr>
        <w:rPr>
          <w:szCs w:val="24"/>
        </w:rPr>
      </w:pPr>
      <w:r>
        <w:rPr>
          <w:szCs w:val="24"/>
        </w:rPr>
        <w:t>TWC</w:t>
      </w:r>
      <w:r w:rsidR="00454960" w:rsidRPr="000719B4">
        <w:rPr>
          <w:szCs w:val="24"/>
        </w:rPr>
        <w:t xml:space="preserve"> has assessed whether the reasons for adopting or readoptin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454960" w:rsidRPr="000719B4">
        <w:rPr>
          <w:szCs w:val="24"/>
        </w:rPr>
        <w:t xml:space="preserve"> fin</w:t>
      </w:r>
      <w:r w:rsidR="00454960">
        <w:rPr>
          <w:szCs w:val="24"/>
        </w:rPr>
        <w:t>ds that the rules in Chapter 843</w:t>
      </w:r>
      <w:r w:rsidR="00454960" w:rsidRPr="000719B4">
        <w:rPr>
          <w:szCs w:val="24"/>
        </w:rPr>
        <w:t xml:space="preserve"> are needed, reflect current legal and policy considerations, and reflect current </w:t>
      </w:r>
      <w:r>
        <w:rPr>
          <w:szCs w:val="24"/>
        </w:rPr>
        <w:t>TWC procedures</w:t>
      </w:r>
      <w:r w:rsidR="00F9428D">
        <w:rPr>
          <w:szCs w:val="24"/>
        </w:rPr>
        <w:t xml:space="preserve">. </w:t>
      </w:r>
      <w:r w:rsidR="00454960" w:rsidRPr="000719B4">
        <w:rPr>
          <w:szCs w:val="24"/>
        </w:rPr>
        <w:t>The reasons for initially adoptin</w:t>
      </w:r>
      <w:r w:rsidR="00F9428D">
        <w:rPr>
          <w:szCs w:val="24"/>
        </w:rPr>
        <w:t xml:space="preserve">g the rules continue to exist. </w:t>
      </w:r>
      <w:r>
        <w:rPr>
          <w:szCs w:val="24"/>
        </w:rPr>
        <w:t>TWC</w:t>
      </w:r>
      <w:r w:rsidR="00454960" w:rsidRPr="000719B4">
        <w:rPr>
          <w:szCs w:val="24"/>
        </w:rPr>
        <w:t xml:space="preserve">, therefore, readopts </w:t>
      </w:r>
      <w:r w:rsidR="00454960">
        <w:rPr>
          <w:szCs w:val="24"/>
        </w:rPr>
        <w:t>Chapter 843, Job Matching Services</w:t>
      </w:r>
      <w:r w:rsidR="00454960" w:rsidRPr="000719B4">
        <w:rPr>
          <w:szCs w:val="24"/>
        </w:rPr>
        <w:t>.</w:t>
      </w:r>
    </w:p>
    <w:p w:rsidR="00454960" w:rsidRDefault="00454960" w:rsidP="000F413D">
      <w:pPr>
        <w:rPr>
          <w:szCs w:val="24"/>
        </w:rPr>
      </w:pPr>
    </w:p>
    <w:sectPr w:rsidR="00454960">
      <w:footerReference w:type="even" r:id="rId7"/>
      <w:footerReference w:type="default" r:id="rId8"/>
      <w:type w:val="continuous"/>
      <w:pgSz w:w="12240" w:h="15840" w:code="1"/>
      <w:pgMar w:top="1440" w:right="1800" w:bottom="1440" w:left="1800" w:header="720" w:footer="720" w:gutter="0"/>
      <w:paperSrc w:first="4" w:other="4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05" w:rsidRDefault="003E0005">
      <w:r>
        <w:separator/>
      </w:r>
    </w:p>
  </w:endnote>
  <w:endnote w:type="continuationSeparator" w:id="0">
    <w:p w:rsidR="003E0005" w:rsidRDefault="003E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05" w:rsidRDefault="003E0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005" w:rsidRDefault="003E0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05" w:rsidRPr="00AE1B74" w:rsidRDefault="003E0005" w:rsidP="0034201F">
    <w:pPr>
      <w:pStyle w:val="Footer"/>
      <w:framePr w:wrap="around" w:vAnchor="text" w:hAnchor="page" w:x="10786" w:y="22"/>
      <w:rPr>
        <w:rStyle w:val="PageNumber"/>
        <w:szCs w:val="24"/>
      </w:rPr>
    </w:pPr>
    <w:r w:rsidRPr="00AE1B74">
      <w:rPr>
        <w:rStyle w:val="PageNumber"/>
        <w:szCs w:val="24"/>
      </w:rPr>
      <w:fldChar w:fldCharType="begin"/>
    </w:r>
    <w:r w:rsidRPr="00AE1B74">
      <w:rPr>
        <w:rStyle w:val="PageNumber"/>
        <w:szCs w:val="24"/>
      </w:rPr>
      <w:instrText xml:space="preserve">PAGE  </w:instrText>
    </w:r>
    <w:r w:rsidRPr="00AE1B74">
      <w:rPr>
        <w:rStyle w:val="PageNumber"/>
        <w:szCs w:val="24"/>
      </w:rPr>
      <w:fldChar w:fldCharType="separate"/>
    </w:r>
    <w:r w:rsidR="00462A23">
      <w:rPr>
        <w:rStyle w:val="PageNumber"/>
        <w:noProof/>
        <w:szCs w:val="24"/>
      </w:rPr>
      <w:t>1</w:t>
    </w:r>
    <w:r w:rsidRPr="00AE1B74">
      <w:rPr>
        <w:rStyle w:val="PageNumber"/>
        <w:szCs w:val="24"/>
      </w:rPr>
      <w:fldChar w:fldCharType="end"/>
    </w:r>
  </w:p>
  <w:p w:rsidR="003E0005" w:rsidRPr="00AE1B74" w:rsidRDefault="003E0005">
    <w:pPr>
      <w:pStyle w:val="Footer"/>
      <w:ind w:right="360"/>
      <w:rPr>
        <w:szCs w:val="24"/>
      </w:rPr>
    </w:pPr>
    <w:r w:rsidRPr="00AE1B74">
      <w:rPr>
        <w:snapToGrid w:val="0"/>
        <w:szCs w:val="24"/>
      </w:rPr>
      <w:fldChar w:fldCharType="begin"/>
    </w:r>
    <w:r w:rsidRPr="00AE1B74">
      <w:rPr>
        <w:snapToGrid w:val="0"/>
        <w:szCs w:val="24"/>
      </w:rPr>
      <w:instrText xml:space="preserve"> FILENAME </w:instrText>
    </w:r>
    <w:r w:rsidRPr="00AE1B74">
      <w:rPr>
        <w:snapToGrid w:val="0"/>
        <w:szCs w:val="24"/>
      </w:rPr>
      <w:fldChar w:fldCharType="separate"/>
    </w:r>
    <w:r w:rsidR="00463168">
      <w:rPr>
        <w:noProof/>
        <w:snapToGrid w:val="0"/>
        <w:szCs w:val="24"/>
      </w:rPr>
      <w:t>FR RR-Ch. 800, 801, 803, 813, 815, 817, 821, 843 (1-8-19)Notebook</w:t>
    </w:r>
    <w:r w:rsidRPr="00AE1B74">
      <w:rPr>
        <w:snapToGrid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05" w:rsidRDefault="003E0005">
      <w:r>
        <w:separator/>
      </w:r>
    </w:p>
  </w:footnote>
  <w:footnote w:type="continuationSeparator" w:id="0">
    <w:p w:rsidR="003E0005" w:rsidRDefault="003E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3"/>
    <w:rsid w:val="00001582"/>
    <w:rsid w:val="00001925"/>
    <w:rsid w:val="00003B41"/>
    <w:rsid w:val="00021912"/>
    <w:rsid w:val="000267A3"/>
    <w:rsid w:val="00040706"/>
    <w:rsid w:val="00046A11"/>
    <w:rsid w:val="00066BD6"/>
    <w:rsid w:val="000719B4"/>
    <w:rsid w:val="0007593D"/>
    <w:rsid w:val="000947DB"/>
    <w:rsid w:val="00095345"/>
    <w:rsid w:val="000A396D"/>
    <w:rsid w:val="000E2959"/>
    <w:rsid w:val="000E65D6"/>
    <w:rsid w:val="000F24F5"/>
    <w:rsid w:val="000F413D"/>
    <w:rsid w:val="00106EC3"/>
    <w:rsid w:val="00120D4B"/>
    <w:rsid w:val="00141B02"/>
    <w:rsid w:val="001655C3"/>
    <w:rsid w:val="001671B4"/>
    <w:rsid w:val="001711C8"/>
    <w:rsid w:val="001761B0"/>
    <w:rsid w:val="0019191B"/>
    <w:rsid w:val="00195C92"/>
    <w:rsid w:val="001A002E"/>
    <w:rsid w:val="001A065C"/>
    <w:rsid w:val="001A66DA"/>
    <w:rsid w:val="001B1026"/>
    <w:rsid w:val="001B240F"/>
    <w:rsid w:val="001B635B"/>
    <w:rsid w:val="001C11AB"/>
    <w:rsid w:val="001C4E1C"/>
    <w:rsid w:val="001D1C0E"/>
    <w:rsid w:val="001E3259"/>
    <w:rsid w:val="001E5C67"/>
    <w:rsid w:val="001F4DBF"/>
    <w:rsid w:val="00202517"/>
    <w:rsid w:val="00222D61"/>
    <w:rsid w:val="0022358C"/>
    <w:rsid w:val="002257EA"/>
    <w:rsid w:val="00235EC2"/>
    <w:rsid w:val="00260348"/>
    <w:rsid w:val="00272FA0"/>
    <w:rsid w:val="0028192D"/>
    <w:rsid w:val="00281E39"/>
    <w:rsid w:val="00282DB6"/>
    <w:rsid w:val="00282EA3"/>
    <w:rsid w:val="002B2D37"/>
    <w:rsid w:val="002B378F"/>
    <w:rsid w:val="002C6369"/>
    <w:rsid w:val="002D79AD"/>
    <w:rsid w:val="002D7C7C"/>
    <w:rsid w:val="002E23C3"/>
    <w:rsid w:val="002F486A"/>
    <w:rsid w:val="0030471A"/>
    <w:rsid w:val="00312BEF"/>
    <w:rsid w:val="003157BA"/>
    <w:rsid w:val="00322083"/>
    <w:rsid w:val="003227E3"/>
    <w:rsid w:val="003272B9"/>
    <w:rsid w:val="0034201F"/>
    <w:rsid w:val="00347000"/>
    <w:rsid w:val="003478D4"/>
    <w:rsid w:val="0035326B"/>
    <w:rsid w:val="003713AC"/>
    <w:rsid w:val="00387AAB"/>
    <w:rsid w:val="00394AA7"/>
    <w:rsid w:val="003B76A0"/>
    <w:rsid w:val="003C56B6"/>
    <w:rsid w:val="003D30C0"/>
    <w:rsid w:val="003D61FD"/>
    <w:rsid w:val="003D673A"/>
    <w:rsid w:val="003E0005"/>
    <w:rsid w:val="003E3DC5"/>
    <w:rsid w:val="003E5B4D"/>
    <w:rsid w:val="003F5B60"/>
    <w:rsid w:val="004164DA"/>
    <w:rsid w:val="004175FF"/>
    <w:rsid w:val="004337E3"/>
    <w:rsid w:val="00433D33"/>
    <w:rsid w:val="00454960"/>
    <w:rsid w:val="00462A23"/>
    <w:rsid w:val="00463168"/>
    <w:rsid w:val="0046440C"/>
    <w:rsid w:val="004702FF"/>
    <w:rsid w:val="00470FA4"/>
    <w:rsid w:val="004769A9"/>
    <w:rsid w:val="00481DCC"/>
    <w:rsid w:val="004826BF"/>
    <w:rsid w:val="00487886"/>
    <w:rsid w:val="004A0D4D"/>
    <w:rsid w:val="004B1782"/>
    <w:rsid w:val="004C75E9"/>
    <w:rsid w:val="004D2EAD"/>
    <w:rsid w:val="004D706B"/>
    <w:rsid w:val="004E3161"/>
    <w:rsid w:val="005207D6"/>
    <w:rsid w:val="00533429"/>
    <w:rsid w:val="0053620E"/>
    <w:rsid w:val="00536C00"/>
    <w:rsid w:val="0054342F"/>
    <w:rsid w:val="0055639B"/>
    <w:rsid w:val="00562A02"/>
    <w:rsid w:val="00563DB3"/>
    <w:rsid w:val="00581B03"/>
    <w:rsid w:val="00590B2E"/>
    <w:rsid w:val="0059106A"/>
    <w:rsid w:val="005940F2"/>
    <w:rsid w:val="005B3E82"/>
    <w:rsid w:val="005B4CCF"/>
    <w:rsid w:val="005C3FC0"/>
    <w:rsid w:val="005E2F5D"/>
    <w:rsid w:val="005E367E"/>
    <w:rsid w:val="005F5FA1"/>
    <w:rsid w:val="00604FA0"/>
    <w:rsid w:val="00607BDB"/>
    <w:rsid w:val="006228F2"/>
    <w:rsid w:val="00633416"/>
    <w:rsid w:val="0063471A"/>
    <w:rsid w:val="006564E4"/>
    <w:rsid w:val="006679E4"/>
    <w:rsid w:val="006811B0"/>
    <w:rsid w:val="006850D3"/>
    <w:rsid w:val="006A1700"/>
    <w:rsid w:val="006A2578"/>
    <w:rsid w:val="006A28B9"/>
    <w:rsid w:val="006A7748"/>
    <w:rsid w:val="006B4FC3"/>
    <w:rsid w:val="006C2DFE"/>
    <w:rsid w:val="006D21BB"/>
    <w:rsid w:val="006D3B6B"/>
    <w:rsid w:val="006D44F3"/>
    <w:rsid w:val="006F1B8F"/>
    <w:rsid w:val="006F3118"/>
    <w:rsid w:val="00714501"/>
    <w:rsid w:val="007162CA"/>
    <w:rsid w:val="00732D16"/>
    <w:rsid w:val="00737191"/>
    <w:rsid w:val="00744EA9"/>
    <w:rsid w:val="00752F13"/>
    <w:rsid w:val="00753F61"/>
    <w:rsid w:val="007547F5"/>
    <w:rsid w:val="007B28D3"/>
    <w:rsid w:val="007C1571"/>
    <w:rsid w:val="007C690E"/>
    <w:rsid w:val="007E6ED8"/>
    <w:rsid w:val="007F0152"/>
    <w:rsid w:val="007F04EE"/>
    <w:rsid w:val="007F399C"/>
    <w:rsid w:val="007F3B67"/>
    <w:rsid w:val="007F58D0"/>
    <w:rsid w:val="00807FA6"/>
    <w:rsid w:val="00811AE8"/>
    <w:rsid w:val="00811CBF"/>
    <w:rsid w:val="00816A18"/>
    <w:rsid w:val="0082660F"/>
    <w:rsid w:val="00827C9F"/>
    <w:rsid w:val="0083021C"/>
    <w:rsid w:val="00845F7B"/>
    <w:rsid w:val="0085098E"/>
    <w:rsid w:val="0085349C"/>
    <w:rsid w:val="00867ED7"/>
    <w:rsid w:val="00880E7A"/>
    <w:rsid w:val="0088596C"/>
    <w:rsid w:val="008910FB"/>
    <w:rsid w:val="008A4677"/>
    <w:rsid w:val="008A7C67"/>
    <w:rsid w:val="008E07CC"/>
    <w:rsid w:val="008E3767"/>
    <w:rsid w:val="008F0931"/>
    <w:rsid w:val="00903CEA"/>
    <w:rsid w:val="00903EF7"/>
    <w:rsid w:val="00913DA3"/>
    <w:rsid w:val="0091682C"/>
    <w:rsid w:val="00927498"/>
    <w:rsid w:val="00955F14"/>
    <w:rsid w:val="00974D56"/>
    <w:rsid w:val="00982B14"/>
    <w:rsid w:val="00984CE2"/>
    <w:rsid w:val="00986F43"/>
    <w:rsid w:val="009A74FF"/>
    <w:rsid w:val="009A79D5"/>
    <w:rsid w:val="009B0398"/>
    <w:rsid w:val="009B06D5"/>
    <w:rsid w:val="009B6642"/>
    <w:rsid w:val="009C0432"/>
    <w:rsid w:val="009C363A"/>
    <w:rsid w:val="009C47D3"/>
    <w:rsid w:val="009D5106"/>
    <w:rsid w:val="009E5669"/>
    <w:rsid w:val="009E7729"/>
    <w:rsid w:val="009F03A3"/>
    <w:rsid w:val="009F2C6E"/>
    <w:rsid w:val="009F65C7"/>
    <w:rsid w:val="00A1148B"/>
    <w:rsid w:val="00A14E21"/>
    <w:rsid w:val="00A2768D"/>
    <w:rsid w:val="00A27BBE"/>
    <w:rsid w:val="00A307C2"/>
    <w:rsid w:val="00A31851"/>
    <w:rsid w:val="00A33016"/>
    <w:rsid w:val="00A53684"/>
    <w:rsid w:val="00A53919"/>
    <w:rsid w:val="00A53ED3"/>
    <w:rsid w:val="00A55EB4"/>
    <w:rsid w:val="00A57725"/>
    <w:rsid w:val="00A62E26"/>
    <w:rsid w:val="00A72104"/>
    <w:rsid w:val="00A75CFE"/>
    <w:rsid w:val="00A80547"/>
    <w:rsid w:val="00A81159"/>
    <w:rsid w:val="00A85352"/>
    <w:rsid w:val="00A91AB1"/>
    <w:rsid w:val="00AA2E9B"/>
    <w:rsid w:val="00AB7325"/>
    <w:rsid w:val="00AC1F00"/>
    <w:rsid w:val="00AC3743"/>
    <w:rsid w:val="00AD33BE"/>
    <w:rsid w:val="00AD6943"/>
    <w:rsid w:val="00AE1B74"/>
    <w:rsid w:val="00B07CEF"/>
    <w:rsid w:val="00B31A13"/>
    <w:rsid w:val="00B31AA6"/>
    <w:rsid w:val="00B3300E"/>
    <w:rsid w:val="00B46D90"/>
    <w:rsid w:val="00B74C3F"/>
    <w:rsid w:val="00B75B18"/>
    <w:rsid w:val="00B9711C"/>
    <w:rsid w:val="00BC44B6"/>
    <w:rsid w:val="00BD6378"/>
    <w:rsid w:val="00BF000F"/>
    <w:rsid w:val="00BF3A2B"/>
    <w:rsid w:val="00BF4ADD"/>
    <w:rsid w:val="00BF71CA"/>
    <w:rsid w:val="00C01877"/>
    <w:rsid w:val="00C17EA4"/>
    <w:rsid w:val="00C2127B"/>
    <w:rsid w:val="00C34E61"/>
    <w:rsid w:val="00C3507E"/>
    <w:rsid w:val="00C41D28"/>
    <w:rsid w:val="00C42A7B"/>
    <w:rsid w:val="00C445BE"/>
    <w:rsid w:val="00C502B2"/>
    <w:rsid w:val="00C50785"/>
    <w:rsid w:val="00C5205C"/>
    <w:rsid w:val="00C52A5C"/>
    <w:rsid w:val="00C57660"/>
    <w:rsid w:val="00C60852"/>
    <w:rsid w:val="00C6130A"/>
    <w:rsid w:val="00C65E54"/>
    <w:rsid w:val="00C7123B"/>
    <w:rsid w:val="00C74095"/>
    <w:rsid w:val="00C83B90"/>
    <w:rsid w:val="00CA452B"/>
    <w:rsid w:val="00CA6F54"/>
    <w:rsid w:val="00CB0BE2"/>
    <w:rsid w:val="00CD4A2C"/>
    <w:rsid w:val="00CE7397"/>
    <w:rsid w:val="00CE792C"/>
    <w:rsid w:val="00CF4A02"/>
    <w:rsid w:val="00D13E98"/>
    <w:rsid w:val="00D24C22"/>
    <w:rsid w:val="00D405B0"/>
    <w:rsid w:val="00D67EC9"/>
    <w:rsid w:val="00D73045"/>
    <w:rsid w:val="00D7614C"/>
    <w:rsid w:val="00D9299F"/>
    <w:rsid w:val="00DA180C"/>
    <w:rsid w:val="00DA2E21"/>
    <w:rsid w:val="00DB0B48"/>
    <w:rsid w:val="00DE24A1"/>
    <w:rsid w:val="00DE6B42"/>
    <w:rsid w:val="00DE7663"/>
    <w:rsid w:val="00DE7EA4"/>
    <w:rsid w:val="00E01110"/>
    <w:rsid w:val="00E144C8"/>
    <w:rsid w:val="00E175BE"/>
    <w:rsid w:val="00E508BF"/>
    <w:rsid w:val="00E60A76"/>
    <w:rsid w:val="00E64F2B"/>
    <w:rsid w:val="00EB0232"/>
    <w:rsid w:val="00EB3950"/>
    <w:rsid w:val="00EB3B11"/>
    <w:rsid w:val="00ED42DA"/>
    <w:rsid w:val="00ED5774"/>
    <w:rsid w:val="00EE1440"/>
    <w:rsid w:val="00EE6FD9"/>
    <w:rsid w:val="00F02DCF"/>
    <w:rsid w:val="00F06921"/>
    <w:rsid w:val="00F136BC"/>
    <w:rsid w:val="00F167C0"/>
    <w:rsid w:val="00F2264A"/>
    <w:rsid w:val="00F23FDE"/>
    <w:rsid w:val="00F34612"/>
    <w:rsid w:val="00F41D38"/>
    <w:rsid w:val="00F428F2"/>
    <w:rsid w:val="00F51D1F"/>
    <w:rsid w:val="00F728C8"/>
    <w:rsid w:val="00F9428D"/>
    <w:rsid w:val="00F94CF6"/>
    <w:rsid w:val="00FA4FB4"/>
    <w:rsid w:val="00FC34E3"/>
    <w:rsid w:val="00FC4D4F"/>
    <w:rsid w:val="00FD485C"/>
    <w:rsid w:val="00FF1E6C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CF6219-6B58-4590-97C7-4F4739A2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ind w:left="720" w:hanging="720"/>
    </w:pPr>
  </w:style>
  <w:style w:type="paragraph" w:customStyle="1" w:styleId="implieda">
    <w:name w:val="implied &quot;a&quot;"/>
    <w:basedOn w:val="Normal"/>
    <w:autoRedefine/>
    <w:pPr>
      <w:ind w:left="720" w:hanging="720"/>
    </w:pPr>
  </w:style>
  <w:style w:type="paragraph" w:customStyle="1" w:styleId="RulesSubseca">
    <w:name w:val="Rules Subsec (a)"/>
    <w:basedOn w:val="Normal"/>
    <w:autoRedefine/>
    <w:pPr>
      <w:ind w:left="1152" w:hanging="432"/>
    </w:pPr>
  </w:style>
  <w:style w:type="paragraph" w:customStyle="1" w:styleId="Rulesimplieda">
    <w:name w:val="Rules implied a"/>
    <w:basedOn w:val="Normal"/>
    <w:autoRedefine/>
    <w:pPr>
      <w:ind w:left="720" w:hanging="720"/>
    </w:pPr>
  </w:style>
  <w:style w:type="paragraph" w:customStyle="1" w:styleId="RulesParagraph1">
    <w:name w:val="Rules Paragraph (1)"/>
    <w:basedOn w:val="Normal"/>
    <w:autoRedefine/>
    <w:pPr>
      <w:ind w:left="1728" w:hanging="576"/>
    </w:pPr>
  </w:style>
  <w:style w:type="paragraph" w:customStyle="1" w:styleId="RulesSubparaA">
    <w:name w:val="Rules Subpara (A)"/>
    <w:basedOn w:val="Normal"/>
    <w:autoRedefine/>
    <w:pPr>
      <w:ind w:left="2160" w:hanging="432"/>
    </w:pPr>
  </w:style>
  <w:style w:type="paragraph" w:customStyle="1" w:styleId="aaaRulesimplieda">
    <w:name w:val="aaa Rules implied a"/>
    <w:basedOn w:val="Normal"/>
    <w:autoRedefine/>
    <w:pPr>
      <w:ind w:left="720" w:hanging="720"/>
    </w:pPr>
  </w:style>
  <w:style w:type="paragraph" w:customStyle="1" w:styleId="aaRulesParagraph1">
    <w:name w:val="aa Rules Paragraph (1)"/>
    <w:basedOn w:val="Normal"/>
    <w:autoRedefine/>
    <w:pPr>
      <w:ind w:left="1728" w:hanging="576"/>
    </w:pPr>
  </w:style>
  <w:style w:type="paragraph" w:customStyle="1" w:styleId="aRulesParagraph1">
    <w:name w:val="a Rules Paragraph (1)"/>
    <w:basedOn w:val="Normal"/>
    <w:autoRedefine/>
    <w:pPr>
      <w:ind w:left="1728" w:hanging="576"/>
    </w:pPr>
  </w:style>
  <w:style w:type="paragraph" w:customStyle="1" w:styleId="aRulesimplieda">
    <w:name w:val="a Rules implied a"/>
    <w:basedOn w:val="Normal"/>
    <w:autoRedefine/>
    <w:pPr>
      <w:ind w:left="720" w:hanging="720"/>
    </w:pPr>
  </w:style>
  <w:style w:type="paragraph" w:customStyle="1" w:styleId="aRulesSubparaA">
    <w:name w:val="a Rules Subpara (A)"/>
    <w:basedOn w:val="Normal"/>
    <w:autoRedefine/>
    <w:pPr>
      <w:ind w:left="2160" w:hanging="432"/>
    </w:pPr>
  </w:style>
  <w:style w:type="paragraph" w:customStyle="1" w:styleId="aRulesSubseca">
    <w:name w:val="a Rules Subsec (a)"/>
    <w:basedOn w:val="Normal"/>
    <w:autoRedefine/>
    <w:pPr>
      <w:ind w:left="1152" w:hanging="432"/>
    </w:pPr>
  </w:style>
  <w:style w:type="paragraph" w:customStyle="1" w:styleId="aRulesSectionxxxxx">
    <w:name w:val="a Rules Section xx.xxx"/>
    <w:basedOn w:val="aRulesSubparaA"/>
    <w:autoRedefine/>
    <w:pPr>
      <w:ind w:left="792"/>
    </w:pPr>
  </w:style>
  <w:style w:type="paragraph" w:customStyle="1" w:styleId="RulesSection1">
    <w:name w:val="Rules(Section.1)"/>
    <w:basedOn w:val="Normal"/>
    <w:autoRedefine/>
    <w:pPr>
      <w:ind w:left="792" w:hanging="432"/>
    </w:pPr>
    <w:rPr>
      <w:rFonts w:ascii="Times New Roman Bold" w:hAnsi="Times New Roman Bold"/>
      <w:b/>
    </w:rPr>
  </w:style>
  <w:style w:type="paragraph" w:customStyle="1" w:styleId="Rules-para1">
    <w:name w:val="Rules-para (1)"/>
    <w:basedOn w:val="Normal"/>
    <w:autoRedefine/>
    <w:pPr>
      <w:ind w:left="1728" w:hanging="576"/>
      <w:jc w:val="both"/>
    </w:pPr>
  </w:style>
  <w:style w:type="paragraph" w:customStyle="1" w:styleId="Rules-subparaA">
    <w:name w:val="Rules-subpara (A)"/>
    <w:basedOn w:val="Normal"/>
    <w:autoRedefine/>
    <w:pPr>
      <w:ind w:left="2160" w:hanging="432"/>
      <w:jc w:val="both"/>
    </w:pPr>
  </w:style>
  <w:style w:type="paragraph" w:customStyle="1" w:styleId="Rules-subsa">
    <w:name w:val="Rules-subs.(a)"/>
    <w:basedOn w:val="Normal"/>
    <w:autoRedefine/>
    <w:pPr>
      <w:ind w:left="1152" w:hanging="432"/>
    </w:pPr>
  </w:style>
  <w:style w:type="paragraph" w:customStyle="1" w:styleId="implieda0">
    <w:name w:val="implied a"/>
    <w:basedOn w:val="PlainText"/>
    <w:autoRedefine/>
    <w:pPr>
      <w:ind w:left="720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Rules-implieda">
    <w:name w:val="Rules-implied (a)"/>
    <w:basedOn w:val="Style1"/>
    <w:autoRedefine/>
    <w:pPr>
      <w:ind w:firstLine="0"/>
    </w:pPr>
    <w:rPr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nhideWhenUsed/>
    <w:rsid w:val="00347000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4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1888-2BE6-4BA4-BAB3-AEE1B2F0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RULE REVIEW TO BE SUBMITTED TO THE TEXAS REGISTER</vt:lpstr>
    </vt:vector>
  </TitlesOfParts>
  <Company>TWC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Materials: January 8, 2018 - Adoption of Final Rule Reviews</dc:title>
  <dc:creator>Marla Reynolds Porter</dc:creator>
  <cp:lastModifiedBy>Springer,Lance J</cp:lastModifiedBy>
  <cp:revision>4</cp:revision>
  <cp:lastPrinted>2011-11-15T16:39:00Z</cp:lastPrinted>
  <dcterms:created xsi:type="dcterms:W3CDTF">2018-12-06T15:39:00Z</dcterms:created>
  <dcterms:modified xsi:type="dcterms:W3CDTF">2019-01-04T20:33:00Z</dcterms:modified>
</cp:coreProperties>
</file>