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E72" w14:textId="77777777" w:rsidR="00CB08BE" w:rsidRPr="00846570" w:rsidRDefault="00CB08BE" w:rsidP="006D3741">
      <w:pPr>
        <w:jc w:val="center"/>
        <w:rPr>
          <w:rFonts w:cstheme="minorHAnsi"/>
          <w:b/>
          <w:bCs/>
          <w:sz w:val="40"/>
          <w:szCs w:val="40"/>
          <w:lang w:val="es-ES"/>
        </w:rPr>
      </w:pPr>
      <w:r>
        <w:rPr>
          <w:rFonts w:cstheme="minorHAnsi"/>
          <w:b/>
          <w:bCs/>
          <w:sz w:val="40"/>
          <w:szCs w:val="40"/>
          <w:lang w:val="es-US"/>
        </w:rPr>
        <w:t>Fondo de Alivio para el Cuidado Infantil 2022</w:t>
      </w:r>
    </w:p>
    <w:p w14:paraId="3C298058" w14:textId="77777777" w:rsidR="00CB08BE" w:rsidRPr="00536EE3" w:rsidRDefault="00CB08BE" w:rsidP="006D3741">
      <w:pPr>
        <w:jc w:val="center"/>
        <w:rPr>
          <w:rFonts w:cstheme="minorHAnsi"/>
        </w:rPr>
      </w:pPr>
      <w:r>
        <w:rPr>
          <w:rFonts w:cstheme="minorHAnsi"/>
          <w:b/>
          <w:bCs/>
          <w:sz w:val="40"/>
          <w:szCs w:val="40"/>
          <w:lang w:val="es-US"/>
        </w:rPr>
        <w:t>Preguntas frecuentes</w:t>
      </w:r>
    </w:p>
    <w:p w14:paraId="1F2D7D26" w14:textId="77777777" w:rsidR="00CB08BE" w:rsidRPr="00536EE3" w:rsidRDefault="00CB08BE" w:rsidP="00CB08BE">
      <w:pPr>
        <w:rPr>
          <w:rFonts w:cstheme="minorHAnsi"/>
        </w:rPr>
      </w:pPr>
    </w:p>
    <w:p w14:paraId="2F26D1BA" w14:textId="77777777" w:rsidR="00CB08BE" w:rsidRPr="00536EE3" w:rsidRDefault="00CB08BE" w:rsidP="00CB08BE">
      <w:pPr>
        <w:rPr>
          <w:rFonts w:cstheme="minorHAnsi"/>
        </w:rPr>
      </w:pPr>
    </w:p>
    <w:p w14:paraId="7F48ABE0" w14:textId="5CA3FCBB" w:rsidR="00CB08BE" w:rsidRPr="00536EE3" w:rsidRDefault="00CB08BE" w:rsidP="005A69A4">
      <w:pPr>
        <w:pStyle w:val="Heading1"/>
      </w:pPr>
      <w:r>
        <w:rPr>
          <w:lang w:val="es-US"/>
        </w:rPr>
        <w:t>Elegibilidad</w:t>
      </w:r>
    </w:p>
    <w:p w14:paraId="21F6B261" w14:textId="2D771D97" w:rsidR="00CB08BE" w:rsidRPr="00846570" w:rsidRDefault="00CB08BE" w:rsidP="00CB08BE">
      <w:pPr>
        <w:pStyle w:val="ListParagraph"/>
        <w:numPr>
          <w:ilvl w:val="0"/>
          <w:numId w:val="1"/>
        </w:numPr>
        <w:rPr>
          <w:rFonts w:cstheme="minorHAnsi"/>
          <w:b/>
          <w:bCs/>
          <w:lang w:val="es-ES"/>
        </w:rPr>
      </w:pPr>
      <w:r>
        <w:rPr>
          <w:rFonts w:cstheme="minorHAnsi"/>
          <w:b/>
          <w:bCs/>
          <w:lang w:val="es-US"/>
        </w:rPr>
        <w:t>¿Quién es elegible para recibir el Child Care Relief Fund, CCRF (Fondo de Alivio para el Cuidado Infantil, CCRF) de 2022?</w:t>
      </w:r>
    </w:p>
    <w:p w14:paraId="1025EC69" w14:textId="0AD25833" w:rsidR="00CB08BE" w:rsidRPr="00846570" w:rsidRDefault="00CB08BE" w:rsidP="00CB08BE">
      <w:pPr>
        <w:pStyle w:val="ListParagraph"/>
        <w:rPr>
          <w:rFonts w:cstheme="minorHAnsi"/>
          <w:lang w:val="es-ES"/>
        </w:rPr>
      </w:pPr>
      <w:r>
        <w:rPr>
          <w:rFonts w:cstheme="minorHAnsi"/>
          <w:lang w:val="es-US"/>
        </w:rPr>
        <w:t>Para ser elegible para el CCRF de 2022, los proveedores deben:</w:t>
      </w:r>
    </w:p>
    <w:p w14:paraId="715C3D3F" w14:textId="324AD7BF" w:rsidR="00CB08BE" w:rsidRPr="00846570" w:rsidRDefault="00053046" w:rsidP="00CB08BE">
      <w:pPr>
        <w:pStyle w:val="ListParagraph"/>
        <w:numPr>
          <w:ilvl w:val="1"/>
          <w:numId w:val="1"/>
        </w:numPr>
        <w:rPr>
          <w:rFonts w:cstheme="minorHAnsi"/>
          <w:lang w:val="es-ES"/>
        </w:rPr>
      </w:pPr>
      <w:bookmarkStart w:id="0" w:name="_Hlk92963842"/>
      <w:r>
        <w:rPr>
          <w:rFonts w:cstheme="minorHAnsi"/>
          <w:lang w:val="es-US"/>
        </w:rPr>
        <w:t xml:space="preserve">estar disponibles para prestar servicios de cuidado infantil en el momento de la solicitud </w:t>
      </w:r>
      <w:r>
        <w:rPr>
          <w:rFonts w:cstheme="minorHAnsi"/>
          <w:b/>
          <w:bCs/>
          <w:lang w:val="es-US"/>
        </w:rPr>
        <w:t>o</w:t>
      </w:r>
      <w:r>
        <w:rPr>
          <w:rFonts w:cstheme="minorHAnsi"/>
          <w:lang w:val="es-US"/>
        </w:rPr>
        <w:t xml:space="preserve"> estar cerrados temporalmente por motivos de salud pública, dificultades financieras u otras razones relacionadas con COVID-19 en el momento de la solicitud (con planes de reapertura en un plazo de 30 días);</w:t>
      </w:r>
    </w:p>
    <w:p w14:paraId="7AA68495" w14:textId="7C438C21" w:rsidR="00CB08BE" w:rsidRPr="00846570" w:rsidRDefault="00053046" w:rsidP="00CB08BE">
      <w:pPr>
        <w:pStyle w:val="ListParagraph"/>
        <w:numPr>
          <w:ilvl w:val="1"/>
          <w:numId w:val="1"/>
        </w:numPr>
        <w:rPr>
          <w:rFonts w:cstheme="minorHAnsi"/>
          <w:lang w:val="es-ES"/>
        </w:rPr>
      </w:pPr>
      <w:r>
        <w:rPr>
          <w:rFonts w:cstheme="minorHAnsi"/>
          <w:lang w:val="es-US"/>
        </w:rPr>
        <w:t xml:space="preserve">tener una licencia activa o estar registrados en el Estado de Texas con </w:t>
      </w:r>
      <w:bookmarkStart w:id="1" w:name="_Hlk88400497"/>
      <w:r>
        <w:rPr>
          <w:rFonts w:cstheme="minorHAnsi"/>
          <w:lang w:val="es-US"/>
        </w:rPr>
        <w:t xml:space="preserve">Child Care Regulation, CCR </w:t>
      </w:r>
      <w:bookmarkEnd w:id="1"/>
      <w:r>
        <w:rPr>
          <w:rFonts w:cstheme="minorHAnsi"/>
          <w:lang w:val="es-US"/>
        </w:rPr>
        <w:t>(Reglamentación de Cuidado Infantil, CCR) antes del 28 de febrero de 2022;</w:t>
      </w:r>
    </w:p>
    <w:p w14:paraId="26EEF5A3" w14:textId="0179B22E" w:rsidR="001C2824" w:rsidRPr="00846570" w:rsidRDefault="00053046" w:rsidP="00CB08BE">
      <w:pPr>
        <w:pStyle w:val="ListParagraph"/>
        <w:numPr>
          <w:ilvl w:val="1"/>
          <w:numId w:val="1"/>
        </w:numPr>
        <w:rPr>
          <w:rFonts w:cstheme="minorHAnsi"/>
          <w:lang w:val="es-ES"/>
        </w:rPr>
      </w:pPr>
      <w:r>
        <w:rPr>
          <w:rFonts w:cstheme="minorHAnsi"/>
          <w:lang w:val="es-US"/>
        </w:rPr>
        <w:t xml:space="preserve">estar </w:t>
      </w:r>
      <w:r w:rsidR="00BF0386">
        <w:rPr>
          <w:rFonts w:cstheme="minorHAnsi"/>
          <w:lang w:val="es-US"/>
        </w:rPr>
        <w:t>en regla</w:t>
      </w:r>
      <w:r>
        <w:rPr>
          <w:rFonts w:cstheme="minorHAnsi"/>
          <w:lang w:val="es-US"/>
        </w:rPr>
        <w:t xml:space="preserve"> con la CCR, y</w:t>
      </w:r>
    </w:p>
    <w:p w14:paraId="6B9ECD62" w14:textId="6915A020" w:rsidR="00CB08BE" w:rsidRPr="00846570" w:rsidRDefault="00053046" w:rsidP="00CB08BE">
      <w:pPr>
        <w:pStyle w:val="ListParagraph"/>
        <w:numPr>
          <w:ilvl w:val="1"/>
          <w:numId w:val="1"/>
        </w:numPr>
        <w:rPr>
          <w:rFonts w:cstheme="minorHAnsi"/>
          <w:lang w:val="es-ES"/>
        </w:rPr>
      </w:pPr>
      <w:r>
        <w:rPr>
          <w:rFonts w:cstheme="minorHAnsi"/>
          <w:lang w:val="es-US"/>
        </w:rPr>
        <w:t xml:space="preserve">comprometerse a permanecer en funcionamiento al menos hasta mayo de 2023. </w:t>
      </w:r>
    </w:p>
    <w:bookmarkEnd w:id="0"/>
    <w:p w14:paraId="02DA120C" w14:textId="77777777" w:rsidR="00895D2E" w:rsidRPr="00846570" w:rsidRDefault="00895D2E" w:rsidP="0024735F">
      <w:pPr>
        <w:pStyle w:val="ListParagraph"/>
        <w:rPr>
          <w:rFonts w:cstheme="minorHAnsi"/>
          <w:lang w:val="es-ES"/>
        </w:rPr>
      </w:pPr>
    </w:p>
    <w:p w14:paraId="463A2BBA" w14:textId="1F5A74A6" w:rsidR="00CB08BE" w:rsidRPr="00846570" w:rsidRDefault="00CB08BE" w:rsidP="00CB08BE">
      <w:pPr>
        <w:pStyle w:val="ListParagraph"/>
        <w:numPr>
          <w:ilvl w:val="0"/>
          <w:numId w:val="1"/>
        </w:numPr>
        <w:rPr>
          <w:rFonts w:cstheme="minorHAnsi"/>
          <w:b/>
          <w:bCs/>
          <w:lang w:val="es-ES"/>
        </w:rPr>
      </w:pPr>
      <w:r>
        <w:rPr>
          <w:rFonts w:cstheme="minorHAnsi"/>
          <w:b/>
          <w:bCs/>
          <w:lang w:val="es-US"/>
        </w:rPr>
        <w:t>¿Puede recibir esta financiación un programa de cuidado infantil que esté cerrado durante cualquier periodo de tiempo?</w:t>
      </w:r>
    </w:p>
    <w:p w14:paraId="40AC539D" w14:textId="5BE5A3C1" w:rsidR="00CB08BE" w:rsidRPr="00846570" w:rsidRDefault="00983F90" w:rsidP="00CB08BE">
      <w:pPr>
        <w:pStyle w:val="ListParagraph"/>
        <w:rPr>
          <w:rFonts w:cstheme="minorHAnsi"/>
          <w:lang w:val="es-ES"/>
        </w:rPr>
      </w:pPr>
      <w:r>
        <w:rPr>
          <w:rFonts w:cstheme="minorHAnsi"/>
          <w:lang w:val="es-US"/>
        </w:rPr>
        <w:t>En el momento de la solicitud, los programas pueden estar cerrados temporalmente por motivos de salud pública, dificultades financieras u otras razones relacionadas con el COVID-19, pero con el compromiso de volver a abrir y permanecer en funcionamiento al menos hasta mayo de 2023. El programa también debe cumplir los demás requisitos enumerados en la respuesta a la pregunta 1 para ser elegible.</w:t>
      </w:r>
    </w:p>
    <w:p w14:paraId="2E108E18" w14:textId="77777777" w:rsidR="00CB08BE" w:rsidRPr="00846570" w:rsidRDefault="00CB08BE" w:rsidP="00CB08BE">
      <w:pPr>
        <w:rPr>
          <w:rFonts w:cstheme="minorHAnsi"/>
          <w:lang w:val="es-ES"/>
        </w:rPr>
      </w:pPr>
    </w:p>
    <w:p w14:paraId="1CA90228" w14:textId="77777777" w:rsidR="004069D4" w:rsidRPr="005720D0" w:rsidRDefault="009A735D" w:rsidP="004069D4">
      <w:pPr>
        <w:pStyle w:val="ListParagraph"/>
        <w:numPr>
          <w:ilvl w:val="0"/>
          <w:numId w:val="1"/>
        </w:numPr>
        <w:rPr>
          <w:rFonts w:cstheme="minorHAnsi"/>
          <w:lang w:val="es-CO"/>
        </w:rPr>
      </w:pPr>
      <w:r>
        <w:rPr>
          <w:b/>
          <w:bCs/>
          <w:lang w:val="es-US"/>
        </w:rPr>
        <w:t xml:space="preserve">¿Qué significa estar cerrado temporalmente por motivos relacionados con COVID-19? ¿Cuánto tiempo es temporalmente? </w:t>
      </w:r>
    </w:p>
    <w:p w14:paraId="3C77AFDA" w14:textId="0935E636" w:rsidR="00DA2D8B" w:rsidRPr="00846570" w:rsidRDefault="002B2629" w:rsidP="004069D4">
      <w:pPr>
        <w:pStyle w:val="ListParagraph"/>
        <w:rPr>
          <w:rFonts w:cstheme="minorHAnsi"/>
          <w:lang w:val="es-ES"/>
        </w:rPr>
      </w:pPr>
      <w:r>
        <w:rPr>
          <w:rFonts w:cstheme="minorHAnsi"/>
          <w:lang w:val="es-US"/>
        </w:rPr>
        <w:t>Si, en el momento de presentar la solicitud, su programa está cerrado temporalmente por motivos de salud pública, dificultades financieras u otras razones relacionadas con el COVID-19, aún puede ser elegible para recibir financiación. El motivo del cierre temporal debe estar directamente relacionado con COVID-19, y el proveedor debe tener la intención de volver a abrir en un plazo de 30 días.</w:t>
      </w:r>
    </w:p>
    <w:p w14:paraId="73CD6AD9" w14:textId="77777777" w:rsidR="004069D4" w:rsidRPr="00846570" w:rsidRDefault="004069D4" w:rsidP="004069D4">
      <w:pPr>
        <w:ind w:left="360"/>
        <w:rPr>
          <w:rFonts w:cstheme="minorHAnsi"/>
          <w:lang w:val="es-ES"/>
        </w:rPr>
      </w:pPr>
    </w:p>
    <w:p w14:paraId="4C280350" w14:textId="1CC92E42" w:rsidR="00CB08BE" w:rsidRPr="0003113D" w:rsidRDefault="00CB08BE" w:rsidP="0003113D">
      <w:pPr>
        <w:pStyle w:val="ListParagraph"/>
        <w:numPr>
          <w:ilvl w:val="0"/>
          <w:numId w:val="1"/>
        </w:numPr>
        <w:ind w:rightChars="-57" w:right="-137"/>
        <w:rPr>
          <w:rFonts w:cstheme="minorHAnsi"/>
          <w:spacing w:val="-2"/>
          <w:lang w:val="es-ES"/>
        </w:rPr>
      </w:pPr>
      <w:r w:rsidRPr="00874901">
        <w:rPr>
          <w:rFonts w:cstheme="minorHAnsi"/>
          <w:b/>
          <w:bCs/>
          <w:spacing w:val="-2"/>
          <w:lang w:val="es-US"/>
        </w:rPr>
        <w:t>Recibí</w:t>
      </w:r>
      <w:r w:rsidRPr="0003113D">
        <w:rPr>
          <w:rFonts w:cstheme="minorHAnsi"/>
          <w:b/>
          <w:bCs/>
          <w:spacing w:val="-2"/>
          <w:lang w:val="es-US"/>
        </w:rPr>
        <w:t xml:space="preserve"> fondos del CCRF en 2021. ¿Sigo siendo elegible para solicitar financiación en 2022?</w:t>
      </w:r>
    </w:p>
    <w:p w14:paraId="3613F0AD" w14:textId="602A90A7" w:rsidR="00CB08BE" w:rsidRPr="00846570" w:rsidRDefault="00CB08BE" w:rsidP="00CB08BE">
      <w:pPr>
        <w:pStyle w:val="ListParagraph"/>
        <w:rPr>
          <w:rFonts w:cstheme="minorHAnsi"/>
          <w:lang w:val="es-ES"/>
        </w:rPr>
      </w:pPr>
      <w:r>
        <w:rPr>
          <w:rFonts w:cstheme="minorHAnsi"/>
          <w:lang w:val="es-US"/>
        </w:rPr>
        <w:t xml:space="preserve">Sí, los programas de cuidado infantil pueden solicitar financiación en 2022 aunque hayan recibido fondos en 2021. </w:t>
      </w:r>
    </w:p>
    <w:p w14:paraId="5BFC3022" w14:textId="48E1DBF5" w:rsidR="00173E81" w:rsidRDefault="00173E81" w:rsidP="00173E81">
      <w:pPr>
        <w:rPr>
          <w:rFonts w:cstheme="minorHAnsi"/>
          <w:lang w:val="es-ES"/>
        </w:rPr>
      </w:pPr>
    </w:p>
    <w:p w14:paraId="1BC00EE9" w14:textId="3208D05F" w:rsidR="007D0DB2" w:rsidRDefault="007D0DB2" w:rsidP="00173E81">
      <w:pPr>
        <w:rPr>
          <w:rFonts w:cstheme="minorHAnsi"/>
          <w:lang w:val="es-ES"/>
        </w:rPr>
      </w:pPr>
    </w:p>
    <w:p w14:paraId="172E8A2E" w14:textId="77777777" w:rsidR="007D0DB2" w:rsidRPr="00846570" w:rsidRDefault="007D0DB2" w:rsidP="00173E81">
      <w:pPr>
        <w:rPr>
          <w:rFonts w:cstheme="minorHAnsi"/>
          <w:lang w:val="es-ES"/>
        </w:rPr>
      </w:pPr>
    </w:p>
    <w:p w14:paraId="5FACE88D" w14:textId="2F7DDF41" w:rsidR="00536EE3" w:rsidRPr="00846570" w:rsidRDefault="00536EE3" w:rsidP="004357FE">
      <w:pPr>
        <w:pStyle w:val="ListParagraph"/>
        <w:numPr>
          <w:ilvl w:val="0"/>
          <w:numId w:val="1"/>
        </w:numPr>
        <w:ind w:left="714" w:hanging="357"/>
        <w:rPr>
          <w:rFonts w:cstheme="minorHAnsi"/>
          <w:lang w:val="es-ES"/>
        </w:rPr>
      </w:pPr>
      <w:r>
        <w:rPr>
          <w:rFonts w:cstheme="minorHAnsi"/>
          <w:b/>
          <w:bCs/>
          <w:lang w:val="es-US"/>
        </w:rPr>
        <w:lastRenderedPageBreak/>
        <w:t>Acabo de comprar o estoy en proceso de comprar un programa de cuidado infantil existente. ¿Puedo solicitar financiación?</w:t>
      </w:r>
      <w:r>
        <w:rPr>
          <w:rFonts w:cstheme="minorHAnsi"/>
          <w:lang w:val="es-US"/>
        </w:rPr>
        <w:t xml:space="preserve"> El propietario de un programa que cumpla los requisitos descritos en la respuesta a la pregunta 1 puede presentar una solicitud. Por lo</w:t>
      </w:r>
      <w:r w:rsidR="004357FE">
        <w:rPr>
          <w:rFonts w:cstheme="minorHAnsi"/>
          <w:lang w:val="es-US"/>
        </w:rPr>
        <w:t> </w:t>
      </w:r>
      <w:r>
        <w:rPr>
          <w:rFonts w:cstheme="minorHAnsi"/>
          <w:lang w:val="es-US"/>
        </w:rPr>
        <w:t>tanto, debe tener un permiso activo antes del 28 de febrero de 2022 para poder solicitarlo, esto incluye los permisos iniciales. Como nuevo propietario, los gastos elegibles se remontan a la fecha de la compra. Obtenga más información sobre los gastos elegibles más abajo.</w:t>
      </w:r>
    </w:p>
    <w:p w14:paraId="321B6626" w14:textId="77777777" w:rsidR="00173E81" w:rsidRPr="00846570" w:rsidRDefault="00173E81" w:rsidP="00173E81">
      <w:pPr>
        <w:pStyle w:val="ListParagraph"/>
        <w:rPr>
          <w:rFonts w:cstheme="minorHAnsi"/>
          <w:lang w:val="es-ES"/>
        </w:rPr>
      </w:pPr>
    </w:p>
    <w:p w14:paraId="0FF4D5B1" w14:textId="2BB129B4" w:rsidR="00305C5F" w:rsidRPr="00846570" w:rsidRDefault="00305C5F" w:rsidP="00536EE3">
      <w:pPr>
        <w:pStyle w:val="ListParagraph"/>
        <w:numPr>
          <w:ilvl w:val="0"/>
          <w:numId w:val="1"/>
        </w:numPr>
        <w:rPr>
          <w:rFonts w:cstheme="minorHAnsi"/>
          <w:lang w:val="es-ES"/>
        </w:rPr>
      </w:pPr>
      <w:r>
        <w:rPr>
          <w:b/>
          <w:bCs/>
          <w:lang w:val="es-US"/>
        </w:rPr>
        <w:t>Estoy en proceso de vender mi negocio de cuidado infantil o estoy considerando vender mi negocio dentro del próximo año. ¿Soy elegible para recibir financiación?</w:t>
      </w:r>
      <w:r>
        <w:rPr>
          <w:lang w:val="es-US"/>
        </w:rPr>
        <w:t xml:space="preserve"> No. Para recibir financiación, los proveedores deben comprometerse a permanecer en funcionamiento al menos hasta mayo de 2023. Cualquier proveedor que reciba fondos y</w:t>
      </w:r>
      <w:r w:rsidR="00846570">
        <w:rPr>
          <w:lang w:val="es-US"/>
        </w:rPr>
        <w:t> </w:t>
      </w:r>
      <w:r>
        <w:rPr>
          <w:lang w:val="es-US"/>
        </w:rPr>
        <w:t>luego no continúe operando hasta mayo de 2023 estaría sujeto a la supervisión y</w:t>
      </w:r>
      <w:r w:rsidR="00846570">
        <w:rPr>
          <w:lang w:val="es-US"/>
        </w:rPr>
        <w:t> </w:t>
      </w:r>
      <w:r>
        <w:rPr>
          <w:lang w:val="es-US"/>
        </w:rPr>
        <w:t>devolución de los fondos.</w:t>
      </w:r>
    </w:p>
    <w:p w14:paraId="3604E3CE" w14:textId="77777777" w:rsidR="00CB08BE" w:rsidRPr="00846570" w:rsidRDefault="00CB08BE" w:rsidP="00CB08BE">
      <w:pPr>
        <w:rPr>
          <w:rFonts w:cstheme="minorHAnsi"/>
          <w:lang w:val="es-ES"/>
        </w:rPr>
      </w:pPr>
    </w:p>
    <w:p w14:paraId="31BB4495" w14:textId="37A27826" w:rsidR="00CB08BE" w:rsidRPr="00D12386" w:rsidRDefault="00CB08BE" w:rsidP="000679C5">
      <w:pPr>
        <w:pStyle w:val="Heading1"/>
        <w:rPr>
          <w:w w:val="90"/>
          <w:lang w:val="es-ES"/>
        </w:rPr>
      </w:pPr>
      <w:r>
        <w:rPr>
          <w:lang w:val="es-US"/>
        </w:rPr>
        <w:t>Proceso de solicitud</w:t>
      </w:r>
    </w:p>
    <w:p w14:paraId="7842CDCF" w14:textId="56F2EE68" w:rsidR="00CB08BE" w:rsidRPr="00D12386" w:rsidRDefault="00CD214E" w:rsidP="00CB08BE">
      <w:pPr>
        <w:rPr>
          <w:rFonts w:cstheme="minorHAnsi"/>
          <w:lang w:val="es-ES"/>
        </w:rPr>
      </w:pPr>
      <w:r w:rsidRPr="00D12386">
        <w:rPr>
          <w:rFonts w:cstheme="minorHAnsi"/>
          <w:lang w:val="es-ES"/>
        </w:rPr>
        <w:t xml:space="preserve">Para obtener más información sobre cómo presentar una solicitud, consulte nuestra Application Guide or Application Walk Through Video </w:t>
      </w:r>
      <w:hyperlink r:id="rId11" w:anchor="applicationProcess" w:history="1">
        <w:r w:rsidRPr="00D12386">
          <w:rPr>
            <w:rStyle w:val="Hyperlink"/>
            <w:rFonts w:cstheme="minorHAnsi"/>
            <w:lang w:val="es-ES"/>
          </w:rPr>
          <w:t>en nuestro sitio web</w:t>
        </w:r>
      </w:hyperlink>
      <w:r w:rsidRPr="00D12386">
        <w:rPr>
          <w:rFonts w:cstheme="minorHAnsi"/>
          <w:lang w:val="es-ES"/>
        </w:rPr>
        <w:t>, disponible en inglés, español y vietnamita.</w:t>
      </w:r>
    </w:p>
    <w:p w14:paraId="30B1E9A9" w14:textId="77777777" w:rsidR="00CD214E" w:rsidRPr="00D12386" w:rsidRDefault="00CD214E" w:rsidP="00CB08BE">
      <w:pPr>
        <w:rPr>
          <w:rFonts w:cstheme="minorHAnsi"/>
          <w:lang w:val="es-ES"/>
        </w:rPr>
      </w:pPr>
    </w:p>
    <w:p w14:paraId="35DE7B8E" w14:textId="77777777" w:rsidR="00CB08BE" w:rsidRPr="00846570" w:rsidRDefault="00CB08BE" w:rsidP="00305C5F">
      <w:pPr>
        <w:pStyle w:val="ListParagraph"/>
        <w:numPr>
          <w:ilvl w:val="0"/>
          <w:numId w:val="3"/>
        </w:numPr>
        <w:rPr>
          <w:rFonts w:cstheme="minorHAnsi"/>
          <w:b/>
          <w:bCs/>
          <w:lang w:val="es-ES"/>
        </w:rPr>
      </w:pPr>
      <w:r>
        <w:rPr>
          <w:rFonts w:cstheme="minorHAnsi"/>
          <w:b/>
          <w:bCs/>
          <w:lang w:val="es-US"/>
        </w:rPr>
        <w:t>¿Cuándo puedo solicitar la financiación?</w:t>
      </w:r>
    </w:p>
    <w:p w14:paraId="3336CC15" w14:textId="4830781F" w:rsidR="00CB08BE" w:rsidRPr="00846570" w:rsidRDefault="00CB08BE" w:rsidP="00CB08BE">
      <w:pPr>
        <w:pStyle w:val="ListParagraph"/>
        <w:rPr>
          <w:rFonts w:cstheme="minorHAnsi"/>
          <w:lang w:val="es-ES"/>
        </w:rPr>
      </w:pPr>
      <w:r>
        <w:rPr>
          <w:rFonts w:cstheme="minorHAnsi"/>
          <w:lang w:val="es-US"/>
        </w:rPr>
        <w:t xml:space="preserve">La TWC comenzará a aceptar solicitudes para el CCRF de forma continua en </w:t>
      </w:r>
      <w:r w:rsidR="00BB26FE">
        <w:rPr>
          <w:rFonts w:cstheme="minorHAnsi"/>
          <w:lang w:val="es-US"/>
        </w:rPr>
        <w:t xml:space="preserve">marzo </w:t>
      </w:r>
      <w:r>
        <w:rPr>
          <w:rFonts w:cstheme="minorHAnsi"/>
          <w:lang w:val="es-US"/>
        </w:rPr>
        <w:t xml:space="preserve">de 2022 y seguirá aceptando solicitudes hasta el 31 de mayo de 2022. Los proveedores elegibles recibirán un correo electrónico de invitación de la TWC con instrucciones sobre cómo iniciar sesión en el portal de solicitudes. Para obtener más información sobre cómo prepararse para el proceso de solicitud del CCRF 2022, consulte la </w:t>
      </w:r>
      <w:r w:rsidR="00EE0474">
        <w:rPr>
          <w:rFonts w:cstheme="minorHAnsi"/>
          <w:lang w:val="es-US"/>
        </w:rPr>
        <w:t>“</w:t>
      </w:r>
      <w:hyperlink r:id="rId12" w:history="1">
        <w:r>
          <w:rPr>
            <w:rStyle w:val="Hyperlink"/>
            <w:rFonts w:cstheme="minorHAnsi"/>
            <w:lang w:val="es-US"/>
          </w:rPr>
          <w:t>Guía de preparación</w:t>
        </w:r>
      </w:hyperlink>
      <w:r w:rsidR="00EE0474">
        <w:rPr>
          <w:rFonts w:cstheme="minorHAnsi"/>
          <w:lang w:val="es-US"/>
        </w:rPr>
        <w:t>”</w:t>
      </w:r>
      <w:r>
        <w:rPr>
          <w:rFonts w:cstheme="minorHAnsi"/>
          <w:lang w:val="es-US"/>
        </w:rPr>
        <w:t xml:space="preserve"> para proveedores de servicios de cuidado infantil.</w:t>
      </w:r>
    </w:p>
    <w:p w14:paraId="583FFEC5" w14:textId="77777777" w:rsidR="00CB08BE" w:rsidRPr="00846570" w:rsidRDefault="00CB08BE" w:rsidP="00CB08BE">
      <w:pPr>
        <w:pStyle w:val="ListParagraph"/>
        <w:rPr>
          <w:rFonts w:cstheme="minorHAnsi"/>
          <w:spacing w:val="-1"/>
          <w:w w:val="90"/>
          <w:lang w:val="es-ES"/>
        </w:rPr>
      </w:pPr>
    </w:p>
    <w:p w14:paraId="2A1DADCD" w14:textId="53DA4613" w:rsidR="00CB08BE" w:rsidRPr="00846570" w:rsidRDefault="00CB08BE" w:rsidP="00305C5F">
      <w:pPr>
        <w:pStyle w:val="ListParagraph"/>
        <w:numPr>
          <w:ilvl w:val="0"/>
          <w:numId w:val="3"/>
        </w:numPr>
        <w:rPr>
          <w:rFonts w:cstheme="minorHAnsi"/>
          <w:b/>
          <w:bCs/>
          <w:lang w:val="es-ES"/>
        </w:rPr>
      </w:pPr>
      <w:r>
        <w:rPr>
          <w:rFonts w:cstheme="minorHAnsi"/>
          <w:b/>
          <w:bCs/>
          <w:lang w:val="es-US"/>
        </w:rPr>
        <w:t>¿Cómo presento una solicitud?</w:t>
      </w:r>
    </w:p>
    <w:p w14:paraId="4FA149F8" w14:textId="4C1D8BBB" w:rsidR="00CB08BE" w:rsidRPr="00846570" w:rsidRDefault="00CB08BE" w:rsidP="00CB08BE">
      <w:pPr>
        <w:pStyle w:val="ListParagraph"/>
        <w:rPr>
          <w:rFonts w:cstheme="minorHAnsi"/>
          <w:lang w:val="es-ES"/>
        </w:rPr>
      </w:pPr>
      <w:r>
        <w:rPr>
          <w:rFonts w:cstheme="minorHAnsi"/>
          <w:lang w:val="es-US"/>
        </w:rPr>
        <w:t xml:space="preserve">Todos los proveedores de servicios infantiles que reúnan los requisitos recibirán un enlace de solicitud a través de la dirección de correo electrónico </w:t>
      </w:r>
      <w:r w:rsidR="00BB26FE">
        <w:rPr>
          <w:rFonts w:cstheme="minorHAnsi"/>
          <w:lang w:val="es-US"/>
        </w:rPr>
        <w:t xml:space="preserve">segura registrada y que usted utiliza para iniciar sesión en </w:t>
      </w:r>
      <w:r>
        <w:rPr>
          <w:rFonts w:cstheme="minorHAnsi"/>
          <w:lang w:val="es-US"/>
        </w:rPr>
        <w:t>de</w:t>
      </w:r>
      <w:r w:rsidR="00DC7A35">
        <w:rPr>
          <w:rFonts w:cstheme="minorHAnsi"/>
          <w:lang w:val="es-US"/>
        </w:rPr>
        <w:t xml:space="preserve"> </w:t>
      </w:r>
      <w:hyperlink r:id="rId13" w:history="1">
        <w:r>
          <w:rPr>
            <w:rStyle w:val="Hyperlink"/>
            <w:rFonts w:cstheme="minorHAnsi"/>
            <w:lang w:val="es-US"/>
          </w:rPr>
          <w:t>Child Care Regulation</w:t>
        </w:r>
      </w:hyperlink>
      <w:r w:rsidR="00BB26FE">
        <w:rPr>
          <w:rStyle w:val="Hyperlink"/>
          <w:rFonts w:cstheme="minorHAnsi"/>
          <w:lang w:val="es-US"/>
        </w:rPr>
        <w:t xml:space="preserve"> portal</w:t>
      </w:r>
      <w:r>
        <w:rPr>
          <w:rFonts w:cstheme="minorHAnsi"/>
          <w:lang w:val="es-US"/>
        </w:rPr>
        <w:t>. Si cree que es elegible pero no ha recibido un</w:t>
      </w:r>
      <w:r w:rsidR="00F10CAE">
        <w:rPr>
          <w:rFonts w:cstheme="minorHAnsi"/>
          <w:lang w:val="es-US"/>
        </w:rPr>
        <w:t> </w:t>
      </w:r>
      <w:r>
        <w:rPr>
          <w:rFonts w:cstheme="minorHAnsi"/>
          <w:lang w:val="es-US"/>
        </w:rPr>
        <w:t>correo electrónico antes del 1.º de abril de 2022, envíe un correo electrónico a</w:t>
      </w:r>
      <w:r w:rsidR="00F10CAE">
        <w:rPr>
          <w:rFonts w:cstheme="minorHAnsi"/>
          <w:lang w:val="es-US"/>
        </w:rPr>
        <w:t> </w:t>
      </w:r>
      <w:hyperlink r:id="rId14" w:history="1">
        <w:r>
          <w:rPr>
            <w:rStyle w:val="Hyperlink"/>
            <w:lang w:val="es-US"/>
          </w:rPr>
          <w:t>CCReliefFunds@trelliscompany.org</w:t>
        </w:r>
      </w:hyperlink>
      <w:r w:rsidR="00CD214E">
        <w:rPr>
          <w:rStyle w:val="Hyperlink"/>
          <w:lang w:val="es-US"/>
        </w:rPr>
        <w:t xml:space="preserve"> </w:t>
      </w:r>
      <w:r w:rsidR="00CD214E" w:rsidRPr="00CD214E">
        <w:rPr>
          <w:rStyle w:val="Hyperlink"/>
          <w:lang w:val="es-US"/>
        </w:rPr>
        <w:t>o llamar</w:t>
      </w:r>
      <w:r w:rsidR="00CD214E">
        <w:rPr>
          <w:rStyle w:val="Hyperlink"/>
          <w:lang w:val="es-US"/>
        </w:rPr>
        <w:t xml:space="preserve"> 1-833-613-3192</w:t>
      </w:r>
      <w:r>
        <w:rPr>
          <w:rFonts w:cstheme="minorHAnsi"/>
          <w:lang w:val="es-US"/>
        </w:rPr>
        <w:t>.</w:t>
      </w:r>
      <w:r w:rsidR="00846570">
        <w:rPr>
          <w:rFonts w:cstheme="minorHAnsi"/>
          <w:lang w:val="es-US"/>
        </w:rPr>
        <w:t xml:space="preserve"> </w:t>
      </w:r>
    </w:p>
    <w:p w14:paraId="799F8748" w14:textId="77777777" w:rsidR="00CB08BE" w:rsidRPr="00846570" w:rsidRDefault="00CB08BE" w:rsidP="00CB08BE">
      <w:pPr>
        <w:pStyle w:val="ListParagraph"/>
        <w:rPr>
          <w:rFonts w:cstheme="minorHAnsi"/>
          <w:b/>
          <w:bCs/>
          <w:lang w:val="es-ES"/>
        </w:rPr>
      </w:pPr>
    </w:p>
    <w:p w14:paraId="7815CD57" w14:textId="1FACC4CF" w:rsidR="00CB08BE" w:rsidRPr="00846570" w:rsidRDefault="00CB08BE" w:rsidP="00305C5F">
      <w:pPr>
        <w:pStyle w:val="ListParagraph"/>
        <w:numPr>
          <w:ilvl w:val="0"/>
          <w:numId w:val="3"/>
        </w:numPr>
        <w:rPr>
          <w:rFonts w:cstheme="minorHAnsi"/>
          <w:b/>
          <w:bCs/>
          <w:lang w:val="es-ES"/>
        </w:rPr>
      </w:pPr>
      <w:r>
        <w:rPr>
          <w:rFonts w:cstheme="minorHAnsi"/>
          <w:b/>
          <w:bCs/>
          <w:lang w:val="es-US"/>
        </w:rPr>
        <w:t>¿Quién puede presentar la solicitud del CCRF?</w:t>
      </w:r>
    </w:p>
    <w:p w14:paraId="777369EE" w14:textId="2371F773" w:rsidR="00CB08BE" w:rsidRPr="00846570" w:rsidRDefault="00CB08BE" w:rsidP="00CB08BE">
      <w:pPr>
        <w:pStyle w:val="ListParagraph"/>
        <w:rPr>
          <w:rFonts w:cstheme="minorHAnsi"/>
          <w:lang w:val="es-ES"/>
        </w:rPr>
      </w:pPr>
      <w:r>
        <w:rPr>
          <w:rFonts w:cstheme="minorHAnsi"/>
          <w:lang w:val="es-US"/>
        </w:rPr>
        <w:t>La persona que solicite el CCRF debe ser una persona identificada como persona responsable de la CCR. Esta persona debe ser alguien que esté autorizado a asumir la responsabilidad fiscal y legal de la gestión de los fondos, como el propietario, el director, el gerente fiscal o el gerente de área. Las actualizaciones de las personas responsables que se encuentran en el archivo del programa de cuidado infantil pueden realizarse a</w:t>
      </w:r>
      <w:r w:rsidR="00EE0474">
        <w:rPr>
          <w:rFonts w:cstheme="minorHAnsi"/>
          <w:lang w:val="es-US"/>
        </w:rPr>
        <w:t> </w:t>
      </w:r>
      <w:r>
        <w:rPr>
          <w:rFonts w:cstheme="minorHAnsi"/>
          <w:lang w:val="es-US"/>
        </w:rPr>
        <w:t xml:space="preserve">través de </w:t>
      </w:r>
      <w:hyperlink r:id="rId15" w:history="1">
        <w:r>
          <w:rPr>
            <w:rStyle w:val="Hyperlink"/>
            <w:rFonts w:cstheme="minorHAnsi"/>
            <w:lang w:val="es-US"/>
          </w:rPr>
          <w:t>Child Care Regulation</w:t>
        </w:r>
      </w:hyperlink>
      <w:r>
        <w:rPr>
          <w:rFonts w:cstheme="minorHAnsi"/>
          <w:lang w:val="es-US"/>
        </w:rPr>
        <w:t>.</w:t>
      </w:r>
    </w:p>
    <w:p w14:paraId="21B3BBE2" w14:textId="77777777" w:rsidR="00CB08BE" w:rsidRPr="00846570" w:rsidRDefault="00CB08BE" w:rsidP="00CB08BE">
      <w:pPr>
        <w:rPr>
          <w:rFonts w:cstheme="minorHAnsi"/>
          <w:w w:val="90"/>
          <w:lang w:val="es-ES"/>
        </w:rPr>
      </w:pPr>
    </w:p>
    <w:p w14:paraId="073BA0A7" w14:textId="77777777" w:rsidR="00CB08BE" w:rsidRPr="00846570" w:rsidRDefault="00CB08BE" w:rsidP="00305C5F">
      <w:pPr>
        <w:pStyle w:val="ListParagraph"/>
        <w:numPr>
          <w:ilvl w:val="0"/>
          <w:numId w:val="3"/>
        </w:numPr>
        <w:rPr>
          <w:rFonts w:cstheme="minorHAnsi"/>
          <w:b/>
          <w:bCs/>
          <w:lang w:val="es-ES"/>
        </w:rPr>
      </w:pPr>
      <w:r>
        <w:rPr>
          <w:rFonts w:cstheme="minorHAnsi"/>
          <w:b/>
          <w:bCs/>
          <w:lang w:val="es-US"/>
        </w:rPr>
        <w:lastRenderedPageBreak/>
        <w:t>¿Puedo volver para terminar mi solicitud más tarde?</w:t>
      </w:r>
    </w:p>
    <w:p w14:paraId="158EC817" w14:textId="6430D270" w:rsidR="00CB08BE" w:rsidRDefault="00CB08BE" w:rsidP="00CB08BE">
      <w:pPr>
        <w:pStyle w:val="ListParagraph"/>
        <w:rPr>
          <w:rFonts w:cstheme="minorHAnsi"/>
          <w:lang w:val="es-US"/>
        </w:rPr>
      </w:pPr>
      <w:r>
        <w:rPr>
          <w:rFonts w:cstheme="minorHAnsi"/>
          <w:lang w:val="es-US"/>
        </w:rPr>
        <w:t>Sí, los programas de cuidado infantil pueden guardar su solicitud como incompleta y</w:t>
      </w:r>
      <w:r w:rsidR="0003113D">
        <w:rPr>
          <w:rFonts w:cstheme="minorHAnsi"/>
          <w:lang w:val="es-US"/>
        </w:rPr>
        <w:t> </w:t>
      </w:r>
      <w:r>
        <w:rPr>
          <w:rFonts w:cstheme="minorHAnsi"/>
          <w:lang w:val="es-US"/>
        </w:rPr>
        <w:t>usted puede volver a presentar su información en otro momento. Esta información se encuentra en la lista de solicitudes activas una vez que se ha iniciado una solicitud. Todas las solicitudes deben completarse y presentarse antes del 31 de mayo de 2022.</w:t>
      </w:r>
    </w:p>
    <w:p w14:paraId="1506DEC2" w14:textId="77777777" w:rsidR="0003113D" w:rsidRPr="00846570" w:rsidRDefault="0003113D" w:rsidP="00CB08BE">
      <w:pPr>
        <w:pStyle w:val="ListParagraph"/>
        <w:rPr>
          <w:rFonts w:cstheme="minorHAnsi"/>
          <w:lang w:val="es-ES"/>
        </w:rPr>
      </w:pPr>
    </w:p>
    <w:p w14:paraId="645C7546" w14:textId="77777777" w:rsidR="00CB08BE" w:rsidRPr="00846570" w:rsidRDefault="00CB08BE" w:rsidP="00305C5F">
      <w:pPr>
        <w:pStyle w:val="ListParagraph"/>
        <w:numPr>
          <w:ilvl w:val="0"/>
          <w:numId w:val="3"/>
        </w:numPr>
        <w:rPr>
          <w:rFonts w:cstheme="minorHAnsi"/>
          <w:b/>
          <w:bCs/>
          <w:lang w:val="es-ES"/>
        </w:rPr>
      </w:pPr>
      <w:r>
        <w:rPr>
          <w:rFonts w:cstheme="minorHAnsi"/>
          <w:b/>
          <w:bCs/>
          <w:lang w:val="es-US"/>
        </w:rPr>
        <w:t>¿Qué pasa si cambio de opinión y no quiero seguir presentando mi solicitud?</w:t>
      </w:r>
    </w:p>
    <w:p w14:paraId="4A0BE575" w14:textId="67F044E6" w:rsidR="00CB08BE" w:rsidRPr="00846570" w:rsidRDefault="00CB08BE" w:rsidP="00CB08BE">
      <w:pPr>
        <w:ind w:left="720"/>
        <w:rPr>
          <w:rFonts w:cstheme="minorHAnsi"/>
          <w:lang w:val="es-ES"/>
        </w:rPr>
      </w:pPr>
      <w:r>
        <w:rPr>
          <w:rFonts w:cstheme="minorHAnsi"/>
          <w:lang w:val="es-US"/>
        </w:rPr>
        <w:t>Si es necesario, la persona solicitante puede interrumpir el proceso de solicitud en</w:t>
      </w:r>
      <w:r w:rsidR="00164EF6">
        <w:rPr>
          <w:rFonts w:cstheme="minorHAnsi"/>
          <w:lang w:val="es-US"/>
        </w:rPr>
        <w:t> </w:t>
      </w:r>
      <w:r>
        <w:rPr>
          <w:rFonts w:cstheme="minorHAnsi"/>
          <w:lang w:val="es-US"/>
        </w:rPr>
        <w:t xml:space="preserve">cualquier momento. La solicitud quedaría como incompleta en el sistema. Se recomienda al proveedor que revise los términos y condiciones del CCRF para asegurarse de que acepta y entiende cada sección. Si el proveedor tiene preguntas sobre cualquier sección de los términos y condiciones del CCRF, el solicitante puede enviar un correo electrónico a </w:t>
      </w:r>
      <w:hyperlink r:id="rId16" w:history="1">
        <w:r>
          <w:rPr>
            <w:rStyle w:val="Hyperlink"/>
            <w:lang w:val="es-US"/>
          </w:rPr>
          <w:t>CCReliefFunds@trelliscompany.org</w:t>
        </w:r>
      </w:hyperlink>
      <w:r>
        <w:rPr>
          <w:rFonts w:cstheme="minorHAnsi"/>
          <w:lang w:val="es-US"/>
        </w:rPr>
        <w:t>.</w:t>
      </w:r>
      <w:r w:rsidR="00846570">
        <w:rPr>
          <w:rFonts w:cstheme="minorHAnsi"/>
          <w:lang w:val="es-US"/>
        </w:rPr>
        <w:t xml:space="preserve"> </w:t>
      </w:r>
    </w:p>
    <w:p w14:paraId="456E89FA" w14:textId="77777777" w:rsidR="00CB08BE" w:rsidRPr="00846570" w:rsidRDefault="00CB08BE" w:rsidP="00CB08BE">
      <w:pPr>
        <w:rPr>
          <w:rFonts w:cstheme="minorHAnsi"/>
          <w:w w:val="90"/>
          <w:lang w:val="es-ES"/>
        </w:rPr>
      </w:pPr>
    </w:p>
    <w:p w14:paraId="3CB018CF" w14:textId="77777777" w:rsidR="00CB08BE" w:rsidRPr="00846570" w:rsidRDefault="00CB08BE" w:rsidP="00305C5F">
      <w:pPr>
        <w:pStyle w:val="ListParagraph"/>
        <w:numPr>
          <w:ilvl w:val="0"/>
          <w:numId w:val="3"/>
        </w:numPr>
        <w:rPr>
          <w:rFonts w:cstheme="minorHAnsi"/>
          <w:lang w:val="es-ES"/>
        </w:rPr>
      </w:pPr>
      <w:r>
        <w:rPr>
          <w:rFonts w:cstheme="minorHAnsi"/>
          <w:b/>
          <w:bCs/>
          <w:lang w:val="es-US"/>
        </w:rPr>
        <w:t>¿Cómo puede solicitarlo una entidad con varios centros de cuidado infantil?</w:t>
      </w:r>
    </w:p>
    <w:p w14:paraId="4AB480A2" w14:textId="3CA7344B" w:rsidR="00CB08BE" w:rsidRPr="00846570" w:rsidRDefault="00CB08BE" w:rsidP="00CB08BE">
      <w:pPr>
        <w:pStyle w:val="ListParagraph"/>
        <w:rPr>
          <w:rFonts w:cstheme="minorHAnsi"/>
          <w:lang w:val="es-ES"/>
        </w:rPr>
      </w:pPr>
      <w:r>
        <w:rPr>
          <w:rFonts w:cstheme="minorHAnsi"/>
          <w:lang w:val="es-US"/>
        </w:rPr>
        <w:t>Debe presentarse una solicitud por cada sede del programa de cuidado infantil (número</w:t>
      </w:r>
      <w:r w:rsidR="00164EF6">
        <w:rPr>
          <w:rFonts w:cstheme="minorHAnsi"/>
          <w:lang w:val="es-US"/>
        </w:rPr>
        <w:t> </w:t>
      </w:r>
      <w:r>
        <w:rPr>
          <w:rFonts w:cstheme="minorHAnsi"/>
          <w:lang w:val="es-US"/>
        </w:rPr>
        <w:t>de licencia de la CCR/número de funcionamiento). Se pueden presentar varias solicitudes con la misma identificación de usuario del CCRF si la persona responsable es la misma en todas las sedes. Después de presentar una solicitud para la primera sede, la</w:t>
      </w:r>
      <w:r w:rsidR="00F10CAE">
        <w:rPr>
          <w:rFonts w:cstheme="minorHAnsi"/>
          <w:lang w:val="es-US"/>
        </w:rPr>
        <w:t> </w:t>
      </w:r>
      <w:r>
        <w:rPr>
          <w:rFonts w:cstheme="minorHAnsi"/>
          <w:lang w:val="es-US"/>
        </w:rPr>
        <w:t>persona responsable hará clic en el enlace Start New Application (Iniciar una nueva solicitud), situado en la parte izquierda de la pantalla, y escribirá el número de funcionamiento del programa y, el nombre y la función de cada una de las sedes adicionales.</w:t>
      </w:r>
    </w:p>
    <w:p w14:paraId="09B7B2FA" w14:textId="77777777" w:rsidR="00CB08BE" w:rsidRPr="00846570" w:rsidRDefault="00CB08BE" w:rsidP="00CB08BE">
      <w:pPr>
        <w:rPr>
          <w:rFonts w:cstheme="minorHAnsi"/>
          <w:lang w:val="es-ES"/>
        </w:rPr>
      </w:pPr>
    </w:p>
    <w:p w14:paraId="6759D86A" w14:textId="15C682D6" w:rsidR="00CB08BE" w:rsidRPr="00846570" w:rsidRDefault="00CB08BE" w:rsidP="00305C5F">
      <w:pPr>
        <w:pStyle w:val="ListParagraph"/>
        <w:numPr>
          <w:ilvl w:val="0"/>
          <w:numId w:val="3"/>
        </w:numPr>
        <w:rPr>
          <w:rFonts w:cstheme="minorHAnsi"/>
          <w:lang w:val="es-ES"/>
        </w:rPr>
      </w:pPr>
      <w:r>
        <w:rPr>
          <w:rFonts w:cstheme="minorHAnsi"/>
          <w:b/>
          <w:bCs/>
          <w:lang w:val="es-US"/>
        </w:rPr>
        <w:t xml:space="preserve">No tengo acceso a una computadora. ¿Hay una solicitud en papel </w:t>
      </w:r>
      <w:r w:rsidR="00BB26FE">
        <w:rPr>
          <w:rFonts w:cstheme="minorHAnsi"/>
          <w:b/>
          <w:bCs/>
          <w:lang w:val="es-US"/>
        </w:rPr>
        <w:t>para</w:t>
      </w:r>
      <w:r w:rsidR="00874901">
        <w:rPr>
          <w:rFonts w:cstheme="minorHAnsi"/>
          <w:b/>
          <w:bCs/>
          <w:lang w:val="es-US"/>
        </w:rPr>
        <w:t xml:space="preserve"> </w:t>
      </w:r>
      <w:r>
        <w:rPr>
          <w:rFonts w:cstheme="minorHAnsi"/>
          <w:b/>
          <w:bCs/>
          <w:lang w:val="es-US"/>
        </w:rPr>
        <w:t>completar?</w:t>
      </w:r>
    </w:p>
    <w:p w14:paraId="7CD0522A" w14:textId="6ADA018E" w:rsidR="00CB08BE" w:rsidRPr="00846570" w:rsidRDefault="00CB08BE" w:rsidP="00CB08BE">
      <w:pPr>
        <w:pStyle w:val="ListParagraph"/>
        <w:rPr>
          <w:rFonts w:cstheme="minorHAnsi"/>
          <w:lang w:val="es-ES"/>
        </w:rPr>
      </w:pPr>
      <w:r>
        <w:rPr>
          <w:rFonts w:cstheme="minorHAnsi"/>
          <w:lang w:val="es-US"/>
        </w:rPr>
        <w:t>Las solicitudes para el CCRF de 2022 solo están disponibles en línea. Sin embargo, se puede acceder al sistema de solicitudes a través de cualquier dispositivo con conexión a</w:t>
      </w:r>
      <w:r w:rsidR="00607390">
        <w:rPr>
          <w:rFonts w:cstheme="minorHAnsi"/>
          <w:lang w:val="es-US"/>
        </w:rPr>
        <w:t> </w:t>
      </w:r>
      <w:r>
        <w:rPr>
          <w:rFonts w:cstheme="minorHAnsi"/>
          <w:lang w:val="es-US"/>
        </w:rPr>
        <w:t>Internet, incluidas las tablets y los teléfonos móviles. Si tiene dificultades de acceso a</w:t>
      </w:r>
      <w:r w:rsidR="00607390">
        <w:rPr>
          <w:rFonts w:cstheme="minorHAnsi"/>
          <w:lang w:val="es-US"/>
        </w:rPr>
        <w:t> </w:t>
      </w:r>
      <w:r>
        <w:rPr>
          <w:rFonts w:cstheme="minorHAnsi"/>
          <w:lang w:val="es-US"/>
        </w:rPr>
        <w:t xml:space="preserve">Internet para completar su solicitud, comuníquese con su </w:t>
      </w:r>
      <w:hyperlink r:id="rId17" w:history="1">
        <w:r>
          <w:rPr>
            <w:rStyle w:val="Hyperlink"/>
            <w:rFonts w:cstheme="minorHAnsi"/>
            <w:lang w:val="es-US"/>
          </w:rPr>
          <w:t>oficina local de Workforce Solutions</w:t>
        </w:r>
      </w:hyperlink>
      <w:r>
        <w:rPr>
          <w:rFonts w:cstheme="minorHAnsi"/>
          <w:lang w:val="es-US"/>
        </w:rPr>
        <w:t xml:space="preserve"> para obtener ayuda. </w:t>
      </w:r>
    </w:p>
    <w:p w14:paraId="5EED1888" w14:textId="77777777" w:rsidR="00CB08BE" w:rsidRPr="00846570" w:rsidRDefault="00CB08BE" w:rsidP="00CB08BE">
      <w:pPr>
        <w:rPr>
          <w:rFonts w:cstheme="minorHAnsi"/>
          <w:lang w:val="es-ES"/>
        </w:rPr>
      </w:pPr>
    </w:p>
    <w:p w14:paraId="48D2FC3D" w14:textId="77777777" w:rsidR="00CB08BE" w:rsidRPr="00846570" w:rsidRDefault="00CB08BE" w:rsidP="00305C5F">
      <w:pPr>
        <w:pStyle w:val="ListParagraph"/>
        <w:numPr>
          <w:ilvl w:val="0"/>
          <w:numId w:val="3"/>
        </w:numPr>
        <w:rPr>
          <w:rFonts w:cstheme="minorHAnsi"/>
          <w:b/>
          <w:bCs/>
          <w:lang w:val="es-ES"/>
        </w:rPr>
      </w:pPr>
      <w:r>
        <w:rPr>
          <w:rFonts w:cstheme="minorHAnsi"/>
          <w:b/>
          <w:bCs/>
          <w:lang w:val="es-US"/>
        </w:rPr>
        <w:t>¿Qué ocurre si hay un error en la solicitud o nuestra información ha cambiado durante el plazo del CCRF?</w:t>
      </w:r>
    </w:p>
    <w:p w14:paraId="61237A0A" w14:textId="1C400847" w:rsidR="00CB08BE" w:rsidRPr="00846570" w:rsidRDefault="00CB08BE" w:rsidP="00CB08BE">
      <w:pPr>
        <w:pStyle w:val="ListParagraph"/>
        <w:rPr>
          <w:rFonts w:cstheme="minorHAnsi"/>
          <w:lang w:val="es-ES"/>
        </w:rPr>
      </w:pPr>
      <w:r>
        <w:rPr>
          <w:rFonts w:cstheme="minorHAnsi"/>
          <w:lang w:val="es-US"/>
        </w:rPr>
        <w:t>Una vez detectado el error, la persona solicitante debe detener el proceso de solicitud y</w:t>
      </w:r>
      <w:r w:rsidR="00F64940">
        <w:rPr>
          <w:rFonts w:cstheme="minorHAnsi"/>
          <w:lang w:val="es-US"/>
        </w:rPr>
        <w:t> </w:t>
      </w:r>
      <w:r>
        <w:rPr>
          <w:rFonts w:cstheme="minorHAnsi"/>
          <w:lang w:val="es-US"/>
        </w:rPr>
        <w:t xml:space="preserve">enviar un correo electrónico a </w:t>
      </w:r>
      <w:hyperlink r:id="rId18" w:history="1">
        <w:r>
          <w:rPr>
            <w:rStyle w:val="Hyperlink"/>
            <w:lang w:val="es-US"/>
          </w:rPr>
          <w:t>CCReliefFunds@trelliscompany.org</w:t>
        </w:r>
      </w:hyperlink>
      <w:r>
        <w:rPr>
          <w:rFonts w:cstheme="minorHAnsi"/>
          <w:lang w:val="es-US"/>
        </w:rPr>
        <w:t xml:space="preserve"> </w:t>
      </w:r>
      <w:r w:rsidR="00CD214E" w:rsidRPr="00CD214E">
        <w:rPr>
          <w:rStyle w:val="Hyperlink"/>
          <w:lang w:val="es-US"/>
        </w:rPr>
        <w:t>o llamar</w:t>
      </w:r>
      <w:r w:rsidR="00CD214E">
        <w:rPr>
          <w:rStyle w:val="Hyperlink"/>
          <w:lang w:val="es-US"/>
        </w:rPr>
        <w:t xml:space="preserve"> 1-833-613-3192 </w:t>
      </w:r>
      <w:r>
        <w:rPr>
          <w:rFonts w:cstheme="minorHAnsi"/>
          <w:lang w:val="es-US"/>
        </w:rPr>
        <w:t>para determinar los pasos a seguir y corregir la información del programa.</w:t>
      </w:r>
    </w:p>
    <w:p w14:paraId="7CCD0E0D" w14:textId="77777777" w:rsidR="00E446EE" w:rsidRPr="00846570" w:rsidRDefault="00E446EE" w:rsidP="00CB08BE">
      <w:pPr>
        <w:pStyle w:val="ListParagraph"/>
        <w:rPr>
          <w:rFonts w:cstheme="minorHAnsi"/>
          <w:lang w:val="es-ES"/>
        </w:rPr>
      </w:pPr>
    </w:p>
    <w:p w14:paraId="53F57D79" w14:textId="03D0E8AE" w:rsidR="00E446EE" w:rsidRPr="00846570" w:rsidRDefault="00E446EE" w:rsidP="00E446EE">
      <w:pPr>
        <w:pStyle w:val="ListParagraph"/>
        <w:numPr>
          <w:ilvl w:val="0"/>
          <w:numId w:val="3"/>
        </w:numPr>
        <w:rPr>
          <w:rFonts w:cstheme="minorHAnsi"/>
          <w:b/>
          <w:bCs/>
          <w:lang w:val="es-ES"/>
        </w:rPr>
      </w:pPr>
      <w:r>
        <w:rPr>
          <w:rFonts w:cstheme="minorHAnsi"/>
          <w:b/>
          <w:bCs/>
          <w:lang w:val="es-US"/>
        </w:rPr>
        <w:t>¿Qué ocurre si se produce un cambio en la persona responsable después de la presentación de la solicitud?</w:t>
      </w:r>
    </w:p>
    <w:p w14:paraId="304F130D" w14:textId="4483AF3C" w:rsidR="006F412C" w:rsidRPr="00861220" w:rsidRDefault="00E446EE" w:rsidP="00786F25">
      <w:pPr>
        <w:pStyle w:val="ListParagraph"/>
        <w:rPr>
          <w:rFonts w:cstheme="minorHAnsi"/>
          <w:lang w:val="es-ES"/>
        </w:rPr>
      </w:pPr>
      <w:r w:rsidRPr="00861220">
        <w:rPr>
          <w:lang w:val="es-US"/>
        </w:rPr>
        <w:t xml:space="preserve">Las actualizaciones de las personas responsables que se encuentran en el archivo </w:t>
      </w:r>
      <w:r w:rsidR="00861220">
        <w:rPr>
          <w:lang w:val="es-US"/>
        </w:rPr>
        <w:br/>
      </w:r>
      <w:r w:rsidRPr="00861220">
        <w:rPr>
          <w:lang w:val="es-US"/>
        </w:rPr>
        <w:t xml:space="preserve">de su programa de cuidado infantil deben realizarse primero a través de </w:t>
      </w:r>
      <w:r w:rsidR="00861220">
        <w:rPr>
          <w:lang w:val="es-US"/>
        </w:rPr>
        <w:br/>
      </w:r>
      <w:hyperlink r:id="rId19" w:history="1">
        <w:r w:rsidRPr="00861220">
          <w:rPr>
            <w:rStyle w:val="Hyperlink"/>
            <w:rFonts w:cstheme="minorHAnsi"/>
            <w:lang w:val="es-US"/>
          </w:rPr>
          <w:t>Child Care Regulation</w:t>
        </w:r>
      </w:hyperlink>
      <w:r w:rsidRPr="00861220">
        <w:rPr>
          <w:lang w:val="es-US"/>
        </w:rPr>
        <w:t xml:space="preserve">. La persona responsable deberá entonces comunicarse con </w:t>
      </w:r>
      <w:hyperlink r:id="rId20" w:history="1">
        <w:r w:rsidRPr="00861220">
          <w:rPr>
            <w:rStyle w:val="Hyperlink"/>
            <w:lang w:val="es-US"/>
          </w:rPr>
          <w:t>CCReliefFunds@trelliscompany.org</w:t>
        </w:r>
      </w:hyperlink>
      <w:r w:rsidRPr="00861220">
        <w:rPr>
          <w:lang w:val="es-US"/>
        </w:rPr>
        <w:t xml:space="preserve"> para asegurarse de que se realizan los cambios en el </w:t>
      </w:r>
      <w:r w:rsidRPr="00861220">
        <w:rPr>
          <w:lang w:val="es-US"/>
        </w:rPr>
        <w:lastRenderedPageBreak/>
        <w:t>sistema del CCRF. Si el cambio no se realiza primero a través de la CCR, se producirá un retraso importante en el procesamiento de la solicitud.</w:t>
      </w:r>
    </w:p>
    <w:p w14:paraId="290DAF38" w14:textId="77777777" w:rsidR="00CB08BE" w:rsidRPr="00846570" w:rsidRDefault="00CB08BE" w:rsidP="00CB08BE">
      <w:pPr>
        <w:rPr>
          <w:rFonts w:cstheme="minorHAnsi"/>
          <w:w w:val="90"/>
          <w:lang w:val="es-ES"/>
        </w:rPr>
      </w:pPr>
    </w:p>
    <w:p w14:paraId="40384835" w14:textId="4335F508" w:rsidR="00DE2B59" w:rsidRPr="00DE2B59" w:rsidRDefault="00DE2B59" w:rsidP="00BF1BFF">
      <w:pPr>
        <w:pStyle w:val="ListParagraph"/>
        <w:keepNext/>
        <w:numPr>
          <w:ilvl w:val="0"/>
          <w:numId w:val="3"/>
        </w:numPr>
        <w:ind w:left="714" w:hanging="357"/>
        <w:rPr>
          <w:rFonts w:cstheme="minorHAnsi"/>
          <w:b/>
          <w:bCs/>
        </w:rPr>
      </w:pPr>
      <w:r>
        <w:rPr>
          <w:rFonts w:cstheme="minorHAnsi"/>
          <w:b/>
          <w:bCs/>
          <w:lang w:val="es-US"/>
        </w:rPr>
        <w:t xml:space="preserve">Tengo problemas para navegar por el sistema del Fondo de Alivio para el Cuidado Infantil. ¿Qué debo hacer? </w:t>
      </w:r>
    </w:p>
    <w:p w14:paraId="7F303268" w14:textId="6F77CCFE" w:rsidR="00CB08BE" w:rsidRDefault="00CD214E" w:rsidP="00DE2B59">
      <w:pPr>
        <w:pStyle w:val="ListParagraph"/>
        <w:rPr>
          <w:rFonts w:cstheme="minorHAnsi"/>
          <w:lang w:val="es-US"/>
        </w:rPr>
      </w:pPr>
      <w:r w:rsidRPr="00D12386">
        <w:rPr>
          <w:rFonts w:cstheme="minorHAnsi"/>
          <w:lang w:val="es-ES"/>
        </w:rPr>
        <w:t xml:space="preserve">Algunos problemas comunes se abordan en nuestro Application Guide or Application Walk Through Video </w:t>
      </w:r>
      <w:hyperlink r:id="rId21" w:anchor="applicationProcess" w:history="1">
        <w:r w:rsidRPr="00D12386">
          <w:rPr>
            <w:rStyle w:val="Hyperlink"/>
            <w:rFonts w:cstheme="minorHAnsi"/>
            <w:lang w:val="es-ES"/>
          </w:rPr>
          <w:t>en nuestro sitio web</w:t>
        </w:r>
      </w:hyperlink>
      <w:r w:rsidRPr="00D12386">
        <w:rPr>
          <w:rFonts w:cstheme="minorHAnsi"/>
          <w:lang w:val="es-ES"/>
        </w:rPr>
        <w:t xml:space="preserve">, disponible en inglés, español y vietnamita. </w:t>
      </w:r>
      <w:r w:rsidR="00CB08BE">
        <w:rPr>
          <w:rFonts w:cstheme="minorHAnsi"/>
          <w:lang w:val="es-US"/>
        </w:rPr>
        <w:t xml:space="preserve">Si necesita ayuda adicional, envíe un correo electrónico a </w:t>
      </w:r>
      <w:hyperlink r:id="rId22" w:history="1">
        <w:r w:rsidR="00CB08BE">
          <w:rPr>
            <w:rStyle w:val="Hyperlink"/>
            <w:lang w:val="es-US"/>
          </w:rPr>
          <w:t>CCReliefFunds@trelliscompany.org</w:t>
        </w:r>
      </w:hyperlink>
      <w:r w:rsidR="00CB08BE">
        <w:rPr>
          <w:rFonts w:cstheme="minorHAnsi"/>
          <w:lang w:val="es-US"/>
        </w:rPr>
        <w:t xml:space="preserve">. </w:t>
      </w:r>
    </w:p>
    <w:p w14:paraId="620014A6" w14:textId="77777777" w:rsidR="007D0DB2" w:rsidRPr="00846570" w:rsidRDefault="007D0DB2" w:rsidP="00DE2B59">
      <w:pPr>
        <w:pStyle w:val="ListParagraph"/>
        <w:rPr>
          <w:rFonts w:cstheme="minorHAnsi"/>
          <w:lang w:val="es-ES"/>
        </w:rPr>
      </w:pPr>
    </w:p>
    <w:p w14:paraId="4C8EA17C" w14:textId="1067D5DF" w:rsidR="00BD4FCA" w:rsidRPr="00846570" w:rsidRDefault="00BD4FCA" w:rsidP="005A69A4">
      <w:pPr>
        <w:pStyle w:val="Heading1"/>
        <w:rPr>
          <w:lang w:val="es-ES"/>
        </w:rPr>
      </w:pPr>
      <w:r>
        <w:rPr>
          <w:lang w:val="es-US"/>
        </w:rPr>
        <w:t>Información sobre la solicitud</w:t>
      </w:r>
    </w:p>
    <w:p w14:paraId="742994DF" w14:textId="43E1CF7E" w:rsidR="00CD214E" w:rsidRPr="00D12386" w:rsidRDefault="00CD214E" w:rsidP="00CD214E">
      <w:pPr>
        <w:rPr>
          <w:rFonts w:cstheme="minorHAnsi"/>
          <w:lang w:val="es-ES"/>
        </w:rPr>
      </w:pPr>
      <w:r w:rsidRPr="00D12386">
        <w:rPr>
          <w:rFonts w:cstheme="minorHAnsi"/>
          <w:lang w:val="es-ES"/>
        </w:rPr>
        <w:t xml:space="preserve">Para obtener más información sobre cómo presentar una solicitud, consulte nuestra Application Guide or Application Walk Through Video </w:t>
      </w:r>
      <w:hyperlink r:id="rId23" w:anchor="applicationProcess" w:history="1">
        <w:r w:rsidRPr="00D12386">
          <w:rPr>
            <w:rStyle w:val="Hyperlink"/>
            <w:rFonts w:cstheme="minorHAnsi"/>
            <w:lang w:val="es-ES"/>
          </w:rPr>
          <w:t>en nuestro sitio web</w:t>
        </w:r>
      </w:hyperlink>
      <w:r w:rsidRPr="00D12386">
        <w:rPr>
          <w:rFonts w:cstheme="minorHAnsi"/>
          <w:lang w:val="es-ES"/>
        </w:rPr>
        <w:t>, disponible en inglés, español y vietnamita.</w:t>
      </w:r>
    </w:p>
    <w:p w14:paraId="7A848015" w14:textId="048D2451" w:rsidR="00BD4FCA" w:rsidRPr="00846570" w:rsidRDefault="00BD4FCA" w:rsidP="00CB08BE">
      <w:pPr>
        <w:rPr>
          <w:rFonts w:cstheme="minorHAnsi"/>
          <w:lang w:val="es-ES"/>
        </w:rPr>
      </w:pPr>
    </w:p>
    <w:p w14:paraId="1FA19137" w14:textId="77777777" w:rsidR="00033DAB" w:rsidRPr="00874901" w:rsidRDefault="00033DAB" w:rsidP="00CB08BE">
      <w:pPr>
        <w:rPr>
          <w:rFonts w:cstheme="minorHAnsi"/>
          <w:b/>
          <w:bCs/>
          <w:lang w:val="es-ES"/>
        </w:rPr>
      </w:pPr>
    </w:p>
    <w:p w14:paraId="5726AE46" w14:textId="1F545F86" w:rsidR="001B263D" w:rsidRPr="00846570" w:rsidRDefault="00A64590" w:rsidP="00BD4FCA">
      <w:pPr>
        <w:pStyle w:val="ListParagraph"/>
        <w:numPr>
          <w:ilvl w:val="0"/>
          <w:numId w:val="11"/>
        </w:numPr>
        <w:ind w:left="630"/>
        <w:rPr>
          <w:rFonts w:cstheme="minorHAnsi"/>
          <w:b/>
          <w:bCs/>
          <w:lang w:val="es-ES"/>
        </w:rPr>
      </w:pPr>
      <w:r>
        <w:rPr>
          <w:rFonts w:cstheme="minorHAnsi"/>
          <w:b/>
          <w:bCs/>
          <w:lang w:val="es-US"/>
        </w:rPr>
        <w:t>¿Qué información recopilará la TWC?</w:t>
      </w:r>
    </w:p>
    <w:p w14:paraId="08CA358D" w14:textId="53D30151" w:rsidR="00F3629E" w:rsidRPr="00846570" w:rsidRDefault="00F3629E" w:rsidP="00F3629E">
      <w:pPr>
        <w:pStyle w:val="ListParagraph"/>
        <w:ind w:left="630"/>
        <w:rPr>
          <w:rFonts w:cstheme="minorHAnsi"/>
          <w:lang w:val="es-ES"/>
        </w:rPr>
      </w:pPr>
      <w:r>
        <w:rPr>
          <w:rFonts w:cstheme="minorHAnsi"/>
          <w:lang w:val="es-US"/>
        </w:rPr>
        <w:t xml:space="preserve">La TWC recopilará los siguientes elementos en el proceso de solicitud con </w:t>
      </w:r>
      <w:r>
        <w:rPr>
          <w:rFonts w:cstheme="minorHAnsi"/>
          <w:b/>
          <w:bCs/>
          <w:lang w:val="es-US"/>
        </w:rPr>
        <w:t>fines meramente informativos</w:t>
      </w:r>
      <w:r>
        <w:rPr>
          <w:rFonts w:cstheme="minorHAnsi"/>
          <w:lang w:val="es-US"/>
        </w:rPr>
        <w:t>:</w:t>
      </w:r>
    </w:p>
    <w:p w14:paraId="30E6A2B2" w14:textId="1B4BC9D5" w:rsidR="00F3629E" w:rsidRPr="00846570" w:rsidRDefault="00E56603" w:rsidP="00E56603">
      <w:pPr>
        <w:pStyle w:val="ListParagraph"/>
        <w:numPr>
          <w:ilvl w:val="0"/>
          <w:numId w:val="12"/>
        </w:numPr>
        <w:rPr>
          <w:rFonts w:cstheme="minorHAnsi"/>
          <w:lang w:val="es-ES"/>
        </w:rPr>
      </w:pPr>
      <w:r>
        <w:rPr>
          <w:rFonts w:cstheme="minorHAnsi"/>
          <w:lang w:val="es-US"/>
        </w:rPr>
        <w:t>Dirección, incluido el código postal.</w:t>
      </w:r>
    </w:p>
    <w:p w14:paraId="2F18CB65" w14:textId="458AA1AF" w:rsidR="00E56603" w:rsidRPr="00846570" w:rsidDel="00E56603" w:rsidRDefault="00E56603" w:rsidP="00E56603">
      <w:pPr>
        <w:pStyle w:val="ListParagraph"/>
        <w:numPr>
          <w:ilvl w:val="0"/>
          <w:numId w:val="12"/>
        </w:numPr>
        <w:rPr>
          <w:rFonts w:cstheme="minorHAnsi"/>
          <w:lang w:val="es-ES"/>
        </w:rPr>
      </w:pPr>
      <w:r>
        <w:rPr>
          <w:rFonts w:cstheme="minorHAnsi"/>
          <w:lang w:val="es-US"/>
        </w:rPr>
        <w:t>Raza, origen étnico y sexo del director del centro o del propietario del centro de cuidado infantil familiar</w:t>
      </w:r>
    </w:p>
    <w:p w14:paraId="7C8A6447" w14:textId="2BD732B5" w:rsidR="00E56603" w:rsidRPr="00846570" w:rsidRDefault="004B276F" w:rsidP="00E56603">
      <w:pPr>
        <w:pStyle w:val="ListParagraph"/>
        <w:numPr>
          <w:ilvl w:val="0"/>
          <w:numId w:val="12"/>
        </w:numPr>
        <w:rPr>
          <w:rFonts w:cstheme="minorHAnsi"/>
          <w:lang w:val="es-ES"/>
        </w:rPr>
      </w:pPr>
      <w:r>
        <w:rPr>
          <w:rFonts w:cstheme="minorHAnsi"/>
          <w:lang w:val="es-US"/>
        </w:rPr>
        <w:t>Si un proveedor estaba funcionando o estaba cerrado temporalmente debido a</w:t>
      </w:r>
      <w:r w:rsidR="00861220">
        <w:rPr>
          <w:rFonts w:cstheme="minorHAnsi"/>
          <w:lang w:val="es-US"/>
        </w:rPr>
        <w:t> </w:t>
      </w:r>
      <w:r>
        <w:rPr>
          <w:rFonts w:cstheme="minorHAnsi"/>
          <w:lang w:val="es-US"/>
        </w:rPr>
        <w:t>COVID-19 en el momento de la solicitud. Si cierra temporalmente, se le preguntará en qué fecha cerró y en qué fecha tiene previsto reabrir.</w:t>
      </w:r>
    </w:p>
    <w:p w14:paraId="754354FD" w14:textId="7D6EBEB4" w:rsidR="004B276F" w:rsidRPr="00846570" w:rsidRDefault="004B276F" w:rsidP="00E56603">
      <w:pPr>
        <w:pStyle w:val="ListParagraph"/>
        <w:numPr>
          <w:ilvl w:val="0"/>
          <w:numId w:val="12"/>
        </w:numPr>
        <w:rPr>
          <w:rFonts w:cstheme="minorHAnsi"/>
          <w:lang w:val="es-ES"/>
        </w:rPr>
      </w:pPr>
      <w:r>
        <w:rPr>
          <w:rFonts w:cstheme="minorHAnsi"/>
          <w:lang w:val="es-US"/>
        </w:rPr>
        <w:t>Información por grupos de edad (bebés, niños pequeños, niños de preescolar y</w:t>
      </w:r>
      <w:r w:rsidR="00861220">
        <w:rPr>
          <w:rFonts w:cstheme="minorHAnsi"/>
          <w:lang w:val="es-US"/>
        </w:rPr>
        <w:t> </w:t>
      </w:r>
      <w:r>
        <w:rPr>
          <w:rFonts w:cstheme="minorHAnsi"/>
          <w:lang w:val="es-US"/>
        </w:rPr>
        <w:t>niños en edad escolar):</w:t>
      </w:r>
    </w:p>
    <w:p w14:paraId="7305EED0" w14:textId="3BF22BB3" w:rsidR="004B276F" w:rsidRDefault="004B276F" w:rsidP="004B276F">
      <w:pPr>
        <w:pStyle w:val="ListParagraph"/>
        <w:numPr>
          <w:ilvl w:val="1"/>
          <w:numId w:val="12"/>
        </w:numPr>
        <w:rPr>
          <w:rFonts w:cstheme="minorHAnsi"/>
        </w:rPr>
      </w:pPr>
      <w:r>
        <w:rPr>
          <w:rFonts w:cstheme="minorHAnsi"/>
          <w:lang w:val="es-US"/>
        </w:rPr>
        <w:t>Capacidad otorgada con la licencia</w:t>
      </w:r>
    </w:p>
    <w:p w14:paraId="548339CF" w14:textId="2B012F44" w:rsidR="004B276F" w:rsidRPr="00846570" w:rsidRDefault="00E8373A" w:rsidP="004B276F">
      <w:pPr>
        <w:pStyle w:val="ListParagraph"/>
        <w:numPr>
          <w:ilvl w:val="1"/>
          <w:numId w:val="12"/>
        </w:numPr>
        <w:rPr>
          <w:rFonts w:cstheme="minorHAnsi"/>
          <w:lang w:val="es-ES"/>
        </w:rPr>
      </w:pPr>
      <w:r>
        <w:rPr>
          <w:rFonts w:cstheme="minorHAnsi"/>
          <w:lang w:val="es-US"/>
        </w:rPr>
        <w:t>Inscripción actual en el momento de la solicitud y antes de la pandemia</w:t>
      </w:r>
    </w:p>
    <w:p w14:paraId="276CDFD6" w14:textId="2559BB04" w:rsidR="004B276F" w:rsidRPr="00846570" w:rsidRDefault="004B276F" w:rsidP="004B276F">
      <w:pPr>
        <w:pStyle w:val="ListParagraph"/>
        <w:numPr>
          <w:ilvl w:val="1"/>
          <w:numId w:val="12"/>
        </w:numPr>
        <w:rPr>
          <w:rFonts w:cstheme="minorHAnsi"/>
          <w:lang w:val="es-ES"/>
        </w:rPr>
      </w:pPr>
      <w:r>
        <w:rPr>
          <w:rFonts w:cstheme="minorHAnsi"/>
          <w:lang w:val="es-US"/>
        </w:rPr>
        <w:t xml:space="preserve">Número de plazas vacantes en el momento de la solicitud (que se utilizará </w:t>
      </w:r>
      <w:r w:rsidRPr="00861220">
        <w:rPr>
          <w:rFonts w:cstheme="minorHAnsi"/>
          <w:spacing w:val="-2"/>
          <w:lang w:val="es-US"/>
        </w:rPr>
        <w:t xml:space="preserve">para actualizar la información de su programa en el </w:t>
      </w:r>
      <w:hyperlink r:id="rId24" w:history="1">
        <w:r w:rsidRPr="00861220">
          <w:rPr>
            <w:rStyle w:val="Hyperlink"/>
            <w:rFonts w:cstheme="minorHAnsi"/>
            <w:spacing w:val="-2"/>
            <w:lang w:val="es-US"/>
          </w:rPr>
          <w:t>Portal de Disponibilidad de Cuidado Infantil de la TWC</w:t>
        </w:r>
      </w:hyperlink>
      <w:r>
        <w:rPr>
          <w:rFonts w:cstheme="minorHAnsi"/>
          <w:lang w:val="es-US"/>
        </w:rPr>
        <w:t>).</w:t>
      </w:r>
    </w:p>
    <w:p w14:paraId="1FE29B30" w14:textId="32326D82" w:rsidR="001E19C2" w:rsidRPr="00846570" w:rsidRDefault="001E19C2" w:rsidP="006656C1">
      <w:pPr>
        <w:pStyle w:val="ListParagraph"/>
        <w:numPr>
          <w:ilvl w:val="0"/>
          <w:numId w:val="12"/>
        </w:numPr>
        <w:rPr>
          <w:rFonts w:cstheme="minorHAnsi"/>
          <w:lang w:val="es-ES"/>
        </w:rPr>
      </w:pPr>
      <w:r>
        <w:rPr>
          <w:rFonts w:cstheme="minorHAnsi"/>
          <w:lang w:val="es-US"/>
        </w:rPr>
        <w:t>Información sobre cómo ha gastado su CCRF de 2021, si corresponde</w:t>
      </w:r>
    </w:p>
    <w:p w14:paraId="3715F313" w14:textId="539FD9E9" w:rsidR="00FF2D8F" w:rsidRPr="00846570" w:rsidRDefault="00FF2D8F" w:rsidP="00FF2D8F">
      <w:pPr>
        <w:pStyle w:val="ListParagraph"/>
        <w:numPr>
          <w:ilvl w:val="0"/>
          <w:numId w:val="12"/>
        </w:numPr>
        <w:rPr>
          <w:rFonts w:cstheme="minorHAnsi"/>
          <w:lang w:val="es-ES"/>
        </w:rPr>
      </w:pPr>
      <w:r>
        <w:rPr>
          <w:rFonts w:cstheme="minorHAnsi"/>
          <w:lang w:val="es-US"/>
        </w:rPr>
        <w:t>Información adicional sobre el impacto del CCRF de 2021</w:t>
      </w:r>
    </w:p>
    <w:p w14:paraId="76872BDE" w14:textId="77777777" w:rsidR="002D3BB6" w:rsidRPr="00846570" w:rsidRDefault="002D3BB6" w:rsidP="002D3BB6">
      <w:pPr>
        <w:rPr>
          <w:rFonts w:cstheme="minorHAnsi"/>
          <w:lang w:val="es-ES"/>
        </w:rPr>
      </w:pPr>
    </w:p>
    <w:p w14:paraId="48CCA268" w14:textId="47C9897D" w:rsidR="00BD4FCA" w:rsidRPr="00846570" w:rsidRDefault="004D3B79" w:rsidP="00BD4FCA">
      <w:pPr>
        <w:pStyle w:val="ListParagraph"/>
        <w:numPr>
          <w:ilvl w:val="0"/>
          <w:numId w:val="11"/>
        </w:numPr>
        <w:ind w:left="630"/>
        <w:rPr>
          <w:rFonts w:cstheme="minorHAnsi"/>
          <w:b/>
          <w:bCs/>
          <w:lang w:val="es-ES"/>
        </w:rPr>
      </w:pPr>
      <w:r>
        <w:rPr>
          <w:rFonts w:cstheme="minorHAnsi"/>
          <w:b/>
          <w:bCs/>
          <w:lang w:val="es-US"/>
        </w:rPr>
        <w:t>¿Qué políticas debo aceptar?</w:t>
      </w:r>
    </w:p>
    <w:p w14:paraId="6D7F3D7B" w14:textId="173AFB56" w:rsidR="00BD4FCA" w:rsidRPr="00846570" w:rsidRDefault="00BD4FCA" w:rsidP="00E02A92">
      <w:pPr>
        <w:ind w:left="630"/>
        <w:rPr>
          <w:rFonts w:cstheme="minorHAnsi"/>
          <w:lang w:val="es-ES"/>
        </w:rPr>
      </w:pPr>
      <w:r>
        <w:rPr>
          <w:rFonts w:cstheme="minorHAnsi"/>
          <w:lang w:val="es-US"/>
        </w:rPr>
        <w:t xml:space="preserve">Los proveedores deben afirmar en su solicitud que cumplirán con los usos permitidos de la financiación, junto con los siguientes requisitos, durante la vigencia de la adjudicación: </w:t>
      </w:r>
    </w:p>
    <w:p w14:paraId="45667F62" w14:textId="4CC8D6BA" w:rsidR="00BD4FCA" w:rsidRPr="00846570" w:rsidRDefault="00BD4FCA" w:rsidP="00BD4FCA">
      <w:pPr>
        <w:pStyle w:val="ListParagraph"/>
        <w:numPr>
          <w:ilvl w:val="0"/>
          <w:numId w:val="10"/>
        </w:numPr>
        <w:ind w:left="1440"/>
        <w:rPr>
          <w:rFonts w:cstheme="minorHAnsi"/>
          <w:lang w:val="es-ES"/>
        </w:rPr>
      </w:pPr>
      <w:r>
        <w:rPr>
          <w:lang w:val="es-US"/>
        </w:rPr>
        <w:t xml:space="preserve">Al abrir y prestar servicios, deben aplicar políticas en consonancia con las directrices y órdenes de las autoridades estatales y locales correspondientes y, en la medida de lo posible, aplicar políticas en consonancia con las </w:t>
      </w:r>
      <w:hyperlink r:id="rId25" w:history="1">
        <w:r>
          <w:rPr>
            <w:rStyle w:val="Hyperlink"/>
            <w:lang w:val="es-US"/>
          </w:rPr>
          <w:t>directrices</w:t>
        </w:r>
      </w:hyperlink>
      <w:r>
        <w:rPr>
          <w:lang w:val="es-US"/>
        </w:rPr>
        <w:t xml:space="preserve"> de los Centros para el Control y la Prevención de Enfermedades (CDC).</w:t>
      </w:r>
    </w:p>
    <w:p w14:paraId="0831BB6E" w14:textId="7993F911" w:rsidR="00BD4FCA" w:rsidRPr="00846570" w:rsidRDefault="00BD4FCA" w:rsidP="00BD4FCA">
      <w:pPr>
        <w:pStyle w:val="ListParagraph"/>
        <w:numPr>
          <w:ilvl w:val="0"/>
          <w:numId w:val="10"/>
        </w:numPr>
        <w:ind w:left="1440"/>
        <w:rPr>
          <w:rFonts w:cstheme="minorHAnsi"/>
          <w:lang w:val="es-ES"/>
        </w:rPr>
      </w:pPr>
      <w:r>
        <w:rPr>
          <w:lang w:val="es-US"/>
        </w:rPr>
        <w:lastRenderedPageBreak/>
        <w:t>Para cada miembro del personal, pagar al menos la misma cantidad en salarios semanales y mantener los mismos beneficios durante la vigencia de la adjudicación. Los proveedores no pueden despedir involuntariamente a los empleados desde la fecha de presentación de la solicitud y durante toda la vigencia de la adjudicación.</w:t>
      </w:r>
    </w:p>
    <w:p w14:paraId="76F022DB" w14:textId="5E78B78E" w:rsidR="00BD4FCA" w:rsidRPr="00846570" w:rsidRDefault="00BD4FCA" w:rsidP="00BD4FCA">
      <w:pPr>
        <w:pStyle w:val="ListParagraph"/>
        <w:numPr>
          <w:ilvl w:val="0"/>
          <w:numId w:val="10"/>
        </w:numPr>
        <w:ind w:left="1440"/>
        <w:rPr>
          <w:rFonts w:cstheme="minorHAnsi"/>
          <w:lang w:val="es-ES"/>
        </w:rPr>
      </w:pPr>
      <w:r>
        <w:rPr>
          <w:lang w:val="es-US"/>
        </w:rPr>
        <w:t>En la medida de lo posible, ofrecer un alivio de los copagos y de la matrícula para las familias inscritas en el programa del proveedor, dando prioridad al alivio de las familias que tienen dificultades para realizar estos pagos y a las que ganan menos del 85 % de la State Median Income, SMI (</w:t>
      </w:r>
      <w:r w:rsidR="00F20A01">
        <w:rPr>
          <w:lang w:val="es-US"/>
        </w:rPr>
        <w:t>ingreso</w:t>
      </w:r>
      <w:r>
        <w:rPr>
          <w:lang w:val="es-US"/>
        </w:rPr>
        <w:t xml:space="preserve"> estatal promedio, SMI) para una familia del mismo tamaño (puede obtener más información sobre el nivel de ingresos </w:t>
      </w:r>
      <w:r w:rsidR="00F20A01">
        <w:rPr>
          <w:lang w:val="es-US"/>
        </w:rPr>
        <w:t>del</w:t>
      </w:r>
      <w:r>
        <w:rPr>
          <w:lang w:val="es-US"/>
        </w:rPr>
        <w:t xml:space="preserve"> SMI por tamaño de familia </w:t>
      </w:r>
      <w:hyperlink r:id="rId26" w:history="1">
        <w:r>
          <w:rPr>
            <w:rStyle w:val="Hyperlink"/>
            <w:lang w:val="es-US"/>
          </w:rPr>
          <w:t>disponible aquí</w:t>
        </w:r>
      </w:hyperlink>
      <w:r>
        <w:rPr>
          <w:lang w:val="es-US"/>
        </w:rPr>
        <w:t xml:space="preserve">, en la columna titulada "85 por ciento </w:t>
      </w:r>
      <w:r w:rsidR="00F20A01">
        <w:rPr>
          <w:lang w:val="es-US"/>
        </w:rPr>
        <w:t>del</w:t>
      </w:r>
      <w:r>
        <w:rPr>
          <w:lang w:val="es-US"/>
        </w:rPr>
        <w:t xml:space="preserve"> SMI"). </w:t>
      </w:r>
    </w:p>
    <w:p w14:paraId="5B723E4B" w14:textId="3824FF32" w:rsidR="00BD4FCA" w:rsidRDefault="00BD4FCA" w:rsidP="00CB08BE">
      <w:pPr>
        <w:rPr>
          <w:rFonts w:cstheme="minorHAnsi"/>
          <w:b/>
          <w:bCs/>
          <w:sz w:val="32"/>
          <w:szCs w:val="32"/>
          <w:lang w:val="es-ES"/>
        </w:rPr>
      </w:pPr>
    </w:p>
    <w:p w14:paraId="7E5EE14D" w14:textId="77777777" w:rsidR="007D0DB2" w:rsidRPr="00846570" w:rsidRDefault="007D0DB2" w:rsidP="00CB08BE">
      <w:pPr>
        <w:rPr>
          <w:rFonts w:cstheme="minorHAnsi"/>
          <w:b/>
          <w:bCs/>
          <w:sz w:val="32"/>
          <w:szCs w:val="32"/>
          <w:lang w:val="es-ES"/>
        </w:rPr>
      </w:pPr>
    </w:p>
    <w:p w14:paraId="73850C14" w14:textId="451E389A" w:rsidR="00CB08BE" w:rsidRPr="00536EE3" w:rsidRDefault="00CB08BE" w:rsidP="005A69A4">
      <w:pPr>
        <w:pStyle w:val="Heading1"/>
      </w:pPr>
      <w:r>
        <w:rPr>
          <w:lang w:val="es-US"/>
        </w:rPr>
        <w:t>Financiación</w:t>
      </w:r>
    </w:p>
    <w:p w14:paraId="336E4423" w14:textId="77777777" w:rsidR="0075107A" w:rsidRPr="0075107A" w:rsidRDefault="0075107A" w:rsidP="0075107A"/>
    <w:p w14:paraId="522D6129" w14:textId="27098D7B" w:rsidR="00CB08BE" w:rsidRPr="00846570" w:rsidRDefault="00CB08BE" w:rsidP="002C6567">
      <w:pPr>
        <w:pStyle w:val="ListParagraph"/>
        <w:numPr>
          <w:ilvl w:val="0"/>
          <w:numId w:val="4"/>
        </w:numPr>
        <w:rPr>
          <w:rFonts w:cstheme="minorHAnsi"/>
          <w:b/>
          <w:bCs/>
          <w:lang w:val="es-ES"/>
        </w:rPr>
      </w:pPr>
      <w:r>
        <w:rPr>
          <w:rFonts w:cstheme="minorHAnsi"/>
          <w:b/>
          <w:bCs/>
          <w:lang w:val="es-US"/>
        </w:rPr>
        <w:t>¿Cuántos fondos puedo esperar recibir?</w:t>
      </w:r>
    </w:p>
    <w:p w14:paraId="5FC4ACFE" w14:textId="42CD0484" w:rsidR="004113A2" w:rsidRPr="00874901" w:rsidRDefault="00B449C2">
      <w:pPr>
        <w:pStyle w:val="ListParagraph"/>
        <w:rPr>
          <w:lang w:val="es-US"/>
        </w:rPr>
      </w:pPr>
      <w:r>
        <w:rPr>
          <w:lang w:val="es-US"/>
        </w:rPr>
        <w:t xml:space="preserve">Las cantidades de financiación básica se calculan utilizando la capacidad autorizada del programa y el percentil 75 de la </w:t>
      </w:r>
      <w:hyperlink r:id="rId27" w:history="1">
        <w:r>
          <w:rPr>
            <w:rStyle w:val="Hyperlink"/>
            <w:rFonts w:cstheme="minorHAnsi"/>
            <w:lang w:val="es-US"/>
          </w:rPr>
          <w:t>tarifa promedio diaria del mercado</w:t>
        </w:r>
      </w:hyperlink>
      <w:r>
        <w:rPr>
          <w:lang w:val="es-US"/>
        </w:rPr>
        <w:t xml:space="preserve"> local para el cuidado infantil </w:t>
      </w:r>
      <w:r w:rsidR="00BB26FE">
        <w:rPr>
          <w:lang w:val="es-US"/>
        </w:rPr>
        <w:t>(</w:t>
      </w:r>
      <w:r w:rsidR="00BB26FE">
        <w:rPr>
          <w:lang w:val="es-ES"/>
        </w:rPr>
        <w:t>n</w:t>
      </w:r>
      <w:r w:rsidR="00BB26FE" w:rsidRPr="00BB26FE">
        <w:rPr>
          <w:lang w:val="es-ES"/>
        </w:rPr>
        <w:t>o basada en la edad de la niña</w:t>
      </w:r>
      <w:r w:rsidR="00BB26FE">
        <w:rPr>
          <w:lang w:val="es-ES"/>
        </w:rPr>
        <w:t>).</w:t>
      </w:r>
      <w:r w:rsidRPr="00BB26FE">
        <w:rPr>
          <w:lang w:val="es-US"/>
        </w:rPr>
        <w:t>. Esto refleja la metodología utilizada para el CCRF de 2021. Esta cantidad se multiplicará por 22, lo que refleja el número promedio de días al mes que se proporciona el cuidado infantil, y luego por un multiplicador de</w:t>
      </w:r>
      <w:r w:rsidR="00874901">
        <w:rPr>
          <w:lang w:val="es-US"/>
        </w:rPr>
        <w:t xml:space="preserve"> </w:t>
      </w:r>
      <w:r w:rsidR="00BB26FE">
        <w:rPr>
          <w:lang w:val="es-US"/>
        </w:rPr>
        <w:t>3.2725</w:t>
      </w:r>
      <w:r w:rsidRPr="00BB26FE">
        <w:rPr>
          <w:lang w:val="es-US"/>
        </w:rPr>
        <w:t>.</w:t>
      </w:r>
    </w:p>
    <w:p w14:paraId="3B6A79E5" w14:textId="77777777" w:rsidR="00220270" w:rsidRPr="00846570" w:rsidRDefault="00220270" w:rsidP="00CB08BE">
      <w:pPr>
        <w:pStyle w:val="ListParagraph"/>
        <w:rPr>
          <w:rFonts w:cstheme="minorHAnsi"/>
          <w:lang w:val="es-ES"/>
        </w:rPr>
      </w:pPr>
    </w:p>
    <w:p w14:paraId="3D2CD97D" w14:textId="13E0C0A9" w:rsidR="00D13518" w:rsidRPr="00846570" w:rsidRDefault="00D13518" w:rsidP="00D13518">
      <w:pPr>
        <w:pStyle w:val="Caption"/>
        <w:keepNext/>
        <w:jc w:val="center"/>
        <w:rPr>
          <w:i w:val="0"/>
          <w:iCs w:val="0"/>
          <w:sz w:val="24"/>
          <w:szCs w:val="24"/>
          <w:lang w:val="es-ES"/>
        </w:rPr>
      </w:pPr>
      <w:r>
        <w:rPr>
          <w:i w:val="0"/>
          <w:iCs w:val="0"/>
          <w:sz w:val="24"/>
          <w:szCs w:val="24"/>
          <w:lang w:val="es-US"/>
        </w:rPr>
        <w:t>Tabla</w:t>
      </w:r>
      <w:r>
        <w:rPr>
          <w:i w:val="0"/>
          <w:iCs w:val="0"/>
          <w:sz w:val="24"/>
          <w:szCs w:val="24"/>
          <w:lang w:val="es-US"/>
        </w:rPr>
        <w:fldChar w:fldCharType="begin"/>
      </w:r>
      <w:r>
        <w:rPr>
          <w:i w:val="0"/>
          <w:iCs w:val="0"/>
          <w:sz w:val="24"/>
          <w:szCs w:val="24"/>
          <w:lang w:val="es-US"/>
        </w:rPr>
        <w:instrText xml:space="preserve"> SEQ Table \* ARABIC </w:instrText>
      </w:r>
      <w:r>
        <w:rPr>
          <w:i w:val="0"/>
          <w:iCs w:val="0"/>
          <w:sz w:val="24"/>
          <w:szCs w:val="24"/>
          <w:lang w:val="es-US"/>
        </w:rPr>
        <w:fldChar w:fldCharType="separate"/>
      </w:r>
      <w:r>
        <w:rPr>
          <w:i w:val="0"/>
          <w:iCs w:val="0"/>
          <w:noProof/>
          <w:sz w:val="24"/>
          <w:szCs w:val="24"/>
          <w:lang w:val="es-US"/>
        </w:rPr>
        <w:t>1</w:t>
      </w:r>
      <w:r>
        <w:rPr>
          <w:i w:val="0"/>
          <w:iCs w:val="0"/>
          <w:noProof/>
          <w:sz w:val="24"/>
          <w:szCs w:val="24"/>
          <w:lang w:val="es-US"/>
        </w:rPr>
        <w:fldChar w:fldCharType="end"/>
      </w:r>
      <w:r>
        <w:rPr>
          <w:i w:val="0"/>
          <w:iCs w:val="0"/>
          <w:sz w:val="24"/>
          <w:szCs w:val="24"/>
          <w:lang w:val="es-US"/>
        </w:rPr>
        <w:t>: Cálculo de la financiación básica</w:t>
      </w:r>
    </w:p>
    <w:tbl>
      <w:tblPr>
        <w:tblStyle w:val="TableGrid"/>
        <w:tblW w:w="8503" w:type="dxa"/>
        <w:tblInd w:w="846" w:type="dxa"/>
        <w:tblBorders>
          <w:insideH w:val="none" w:sz="0" w:space="0" w:color="auto"/>
          <w:insideV w:val="none" w:sz="0" w:space="0" w:color="auto"/>
        </w:tblBorders>
        <w:tblLook w:val="04A0" w:firstRow="1" w:lastRow="0" w:firstColumn="1" w:lastColumn="0" w:noHBand="0" w:noVBand="1"/>
      </w:tblPr>
      <w:tblGrid>
        <w:gridCol w:w="2438"/>
        <w:gridCol w:w="353"/>
        <w:gridCol w:w="1461"/>
        <w:gridCol w:w="373"/>
        <w:gridCol w:w="1850"/>
        <w:gridCol w:w="501"/>
        <w:gridCol w:w="1527"/>
      </w:tblGrid>
      <w:tr w:rsidR="00D13518" w14:paraId="3DFE006F" w14:textId="5735AAC2" w:rsidTr="00861220">
        <w:trPr>
          <w:trHeight w:val="1267"/>
        </w:trPr>
        <w:tc>
          <w:tcPr>
            <w:tcW w:w="2438" w:type="dxa"/>
            <w:vAlign w:val="center"/>
          </w:tcPr>
          <w:p w14:paraId="407D5EA7" w14:textId="6599E9C3" w:rsidR="00684E1E" w:rsidRPr="00846570" w:rsidRDefault="00684E1E" w:rsidP="004113A2">
            <w:pPr>
              <w:pStyle w:val="ListParagraph"/>
              <w:ind w:left="0"/>
              <w:jc w:val="center"/>
              <w:rPr>
                <w:rFonts w:cstheme="minorHAnsi"/>
                <w:lang w:val="es-ES"/>
              </w:rPr>
            </w:pPr>
            <w:r>
              <w:rPr>
                <w:rFonts w:cstheme="minorHAnsi"/>
                <w:lang w:val="es-US"/>
              </w:rPr>
              <w:t>Percentil 75 de la tarifa promedio diaria del mercado local para el cuidado infantil en el área de trabajo, por edad del niño</w:t>
            </w:r>
          </w:p>
        </w:tc>
        <w:tc>
          <w:tcPr>
            <w:tcW w:w="353" w:type="dxa"/>
            <w:vAlign w:val="center"/>
          </w:tcPr>
          <w:p w14:paraId="1CCFC3F1" w14:textId="1B3B655C" w:rsidR="00684E1E" w:rsidRDefault="00684E1E" w:rsidP="004113A2">
            <w:pPr>
              <w:pStyle w:val="ListParagraph"/>
              <w:ind w:left="0"/>
              <w:jc w:val="center"/>
              <w:rPr>
                <w:rFonts w:cstheme="minorHAnsi"/>
              </w:rPr>
            </w:pPr>
            <w:r>
              <w:rPr>
                <w:rFonts w:cstheme="minorHAnsi"/>
                <w:lang w:val="es-US"/>
              </w:rPr>
              <w:t>x</w:t>
            </w:r>
          </w:p>
        </w:tc>
        <w:tc>
          <w:tcPr>
            <w:tcW w:w="1461" w:type="dxa"/>
            <w:vAlign w:val="center"/>
          </w:tcPr>
          <w:p w14:paraId="24A513EC" w14:textId="5E77F451" w:rsidR="00684E1E" w:rsidRPr="00846570" w:rsidRDefault="00684E1E" w:rsidP="004113A2">
            <w:pPr>
              <w:pStyle w:val="ListParagraph"/>
              <w:ind w:left="0"/>
              <w:jc w:val="center"/>
              <w:rPr>
                <w:rFonts w:cstheme="minorHAnsi"/>
                <w:lang w:val="es-ES"/>
              </w:rPr>
            </w:pPr>
            <w:r>
              <w:rPr>
                <w:rFonts w:cstheme="minorHAnsi"/>
                <w:lang w:val="es-US"/>
              </w:rPr>
              <w:t>capacidad autorizada</w:t>
            </w:r>
          </w:p>
        </w:tc>
        <w:tc>
          <w:tcPr>
            <w:tcW w:w="373" w:type="dxa"/>
            <w:vAlign w:val="center"/>
          </w:tcPr>
          <w:p w14:paraId="6BFA03BF" w14:textId="004E56AE" w:rsidR="00684E1E" w:rsidRDefault="00684E1E" w:rsidP="004113A2">
            <w:pPr>
              <w:pStyle w:val="ListParagraph"/>
              <w:ind w:left="0"/>
              <w:jc w:val="center"/>
              <w:rPr>
                <w:rFonts w:cstheme="minorHAnsi"/>
              </w:rPr>
            </w:pPr>
            <w:r>
              <w:rPr>
                <w:rFonts w:cstheme="minorHAnsi"/>
                <w:lang w:val="es-US"/>
              </w:rPr>
              <w:t>x</w:t>
            </w:r>
          </w:p>
        </w:tc>
        <w:tc>
          <w:tcPr>
            <w:tcW w:w="1850" w:type="dxa"/>
            <w:vAlign w:val="center"/>
          </w:tcPr>
          <w:p w14:paraId="218DB7E4" w14:textId="77777777" w:rsidR="00DD3AEA" w:rsidRPr="00DD3AEA" w:rsidRDefault="00DD3AEA" w:rsidP="00DD3AEA">
            <w:pPr>
              <w:pStyle w:val="ListParagraph"/>
              <w:jc w:val="center"/>
              <w:rPr>
                <w:rFonts w:cstheme="minorHAnsi"/>
              </w:rPr>
            </w:pPr>
            <w:r w:rsidRPr="00DD3AEA">
              <w:rPr>
                <w:rFonts w:cstheme="minorHAnsi"/>
                <w:lang w:val="es-ES"/>
              </w:rPr>
              <w:t>22 días</w:t>
            </w:r>
          </w:p>
          <w:p w14:paraId="716EAD5F" w14:textId="017206E5" w:rsidR="00684E1E" w:rsidRPr="00846570" w:rsidRDefault="00684E1E" w:rsidP="004113A2">
            <w:pPr>
              <w:pStyle w:val="ListParagraph"/>
              <w:ind w:left="0"/>
              <w:jc w:val="center"/>
              <w:rPr>
                <w:rFonts w:cstheme="minorHAnsi"/>
                <w:lang w:val="es-ES"/>
              </w:rPr>
            </w:pPr>
          </w:p>
        </w:tc>
        <w:tc>
          <w:tcPr>
            <w:tcW w:w="501" w:type="dxa"/>
            <w:vAlign w:val="center"/>
          </w:tcPr>
          <w:p w14:paraId="75F35D30" w14:textId="1D183662" w:rsidR="00684E1E" w:rsidRDefault="00684E1E" w:rsidP="00684E1E">
            <w:pPr>
              <w:pStyle w:val="ListParagraph"/>
              <w:ind w:left="0"/>
              <w:jc w:val="center"/>
              <w:rPr>
                <w:rFonts w:cstheme="minorHAnsi"/>
              </w:rPr>
            </w:pPr>
            <w:r>
              <w:rPr>
                <w:rFonts w:cstheme="minorHAnsi"/>
                <w:lang w:val="es-US"/>
              </w:rPr>
              <w:t>x</w:t>
            </w:r>
          </w:p>
        </w:tc>
        <w:tc>
          <w:tcPr>
            <w:tcW w:w="1527" w:type="dxa"/>
            <w:vAlign w:val="center"/>
          </w:tcPr>
          <w:p w14:paraId="40E4B7D5" w14:textId="0E7F4028" w:rsidR="00684E1E" w:rsidRDefault="0075107A" w:rsidP="00684E1E">
            <w:pPr>
              <w:pStyle w:val="ListParagraph"/>
              <w:ind w:left="0"/>
              <w:jc w:val="center"/>
              <w:rPr>
                <w:rFonts w:cstheme="minorHAnsi"/>
              </w:rPr>
            </w:pPr>
            <w:r>
              <w:rPr>
                <w:lang w:val="es-US"/>
              </w:rPr>
              <w:t xml:space="preserve">Multiplicador de </w:t>
            </w:r>
            <w:r w:rsidR="00BB26FE">
              <w:rPr>
                <w:lang w:val="es-US"/>
              </w:rPr>
              <w:t>3.2725</w:t>
            </w:r>
          </w:p>
        </w:tc>
      </w:tr>
    </w:tbl>
    <w:p w14:paraId="3FBD7AB8" w14:textId="77777777" w:rsidR="00BB26FE" w:rsidRDefault="00BB26FE" w:rsidP="00CB08BE">
      <w:pPr>
        <w:pStyle w:val="ListParagraph"/>
        <w:rPr>
          <w:rFonts w:cstheme="minorHAnsi"/>
          <w:lang w:val="es-US"/>
        </w:rPr>
      </w:pPr>
    </w:p>
    <w:p w14:paraId="0A9EE20D" w14:textId="77777777" w:rsidR="00874901" w:rsidRPr="00874901" w:rsidRDefault="00874901" w:rsidP="00CB08BE">
      <w:pPr>
        <w:pStyle w:val="ListParagraph"/>
        <w:rPr>
          <w:rFonts w:cstheme="minorHAnsi"/>
          <w:lang w:val="es-US"/>
        </w:rPr>
      </w:pPr>
    </w:p>
    <w:p w14:paraId="6977077C" w14:textId="6A3F19FC" w:rsidR="00AC03E9" w:rsidRPr="00874901" w:rsidRDefault="00220270" w:rsidP="00AC03E9">
      <w:pPr>
        <w:pStyle w:val="ListParagraph"/>
        <w:rPr>
          <w:rFonts w:cstheme="minorHAnsi"/>
          <w:lang w:val="es-US"/>
        </w:rPr>
      </w:pPr>
      <w:r>
        <w:rPr>
          <w:rFonts w:cstheme="minorHAnsi"/>
          <w:lang w:val="es-US"/>
        </w:rPr>
        <w:t xml:space="preserve">Los proveedores pueden ser elegibles para una cantidad de financiación adicional a su financiación básica si el programa de cuidado infantil está certificado por Texas Rising Star, acreditado a nivel nacional, situado en una zona con una baja oferta de cuidado infantil (child care desert), o con base en la puntuación del </w:t>
      </w:r>
      <w:r w:rsidR="00920620">
        <w:rPr>
          <w:rFonts w:cstheme="minorHAnsi"/>
          <w:lang w:val="es-US"/>
        </w:rPr>
        <w:t xml:space="preserve">Texas </w:t>
      </w:r>
      <w:r>
        <w:rPr>
          <w:rFonts w:cstheme="minorHAnsi"/>
          <w:lang w:val="es-US"/>
        </w:rPr>
        <w:t>Social Vulnerability Index, SVI</w:t>
      </w:r>
      <w:r w:rsidR="00861220">
        <w:rPr>
          <w:rFonts w:cstheme="minorHAnsi"/>
          <w:lang w:val="es-US"/>
        </w:rPr>
        <w:t> </w:t>
      </w:r>
      <w:r>
        <w:rPr>
          <w:rFonts w:cstheme="minorHAnsi"/>
          <w:lang w:val="es-US"/>
        </w:rPr>
        <w:t xml:space="preserve">(Índice de Vulnerabilidad Social, SVI). </w:t>
      </w:r>
      <w:r w:rsidR="00AC03E9" w:rsidRPr="00AC03E9">
        <w:rPr>
          <w:rFonts w:cstheme="minorHAnsi"/>
          <w:lang w:val="es-ES"/>
        </w:rPr>
        <w:t xml:space="preserve">Más detalles sobre cómo se calcula la financiación </w:t>
      </w:r>
      <w:r w:rsidR="00AC03E9">
        <w:rPr>
          <w:rFonts w:cstheme="minorHAnsi"/>
          <w:lang w:val="es-ES"/>
        </w:rPr>
        <w:t>adicional</w:t>
      </w:r>
      <w:r w:rsidR="00AC03E9" w:rsidRPr="00AC03E9">
        <w:rPr>
          <w:rFonts w:cstheme="minorHAnsi"/>
          <w:lang w:val="es-ES"/>
        </w:rPr>
        <w:t xml:space="preserve"> se encuentran en la respuesta a la pregunta 2 a continuación.</w:t>
      </w:r>
    </w:p>
    <w:p w14:paraId="380EFA99" w14:textId="31B08DE2" w:rsidR="003723F2" w:rsidRPr="00874901" w:rsidRDefault="003723F2" w:rsidP="00874901">
      <w:pPr>
        <w:rPr>
          <w:rFonts w:cstheme="minorHAnsi"/>
          <w:lang w:val="es-ES"/>
        </w:rPr>
      </w:pPr>
    </w:p>
    <w:p w14:paraId="5D3FE9D2" w14:textId="2EFA028B" w:rsidR="003723F2" w:rsidRDefault="003723F2" w:rsidP="00CB08BE">
      <w:pPr>
        <w:pStyle w:val="ListParagraph"/>
        <w:rPr>
          <w:rFonts w:cstheme="minorHAnsi"/>
          <w:b/>
          <w:bCs/>
          <w:lang w:val="es-US"/>
        </w:rPr>
      </w:pPr>
      <w:r>
        <w:rPr>
          <w:rFonts w:cstheme="minorHAnsi"/>
          <w:lang w:val="es-US"/>
        </w:rPr>
        <w:lastRenderedPageBreak/>
        <w:t xml:space="preserve">La TWC calculará la cantidad total de adjudicación de un proveedor basándose en una revisión de los elementos que se indican abajo. </w:t>
      </w:r>
      <w:r>
        <w:rPr>
          <w:rFonts w:cstheme="minorHAnsi"/>
          <w:b/>
          <w:bCs/>
          <w:lang w:val="es-US"/>
        </w:rPr>
        <w:t>Estas cantidades no se modificarán independientemente de los cambios posteriores (por ejemplo, la cantidad de un proveedor no se modificará si cambia su capacidad autorizada).</w:t>
      </w:r>
    </w:p>
    <w:p w14:paraId="484058E6" w14:textId="77777777" w:rsidR="00CD214E" w:rsidRPr="00846570" w:rsidRDefault="00CD214E" w:rsidP="00CB08BE">
      <w:pPr>
        <w:pStyle w:val="ListParagraph"/>
        <w:rPr>
          <w:rFonts w:cstheme="minorHAnsi"/>
          <w:lang w:val="es-ES"/>
        </w:rPr>
      </w:pPr>
    </w:p>
    <w:p w14:paraId="194820D0" w14:textId="7F1F93A4" w:rsidR="00BF597B" w:rsidRPr="00846570" w:rsidRDefault="00BF597B" w:rsidP="00CB08BE">
      <w:pPr>
        <w:pStyle w:val="ListParagraph"/>
        <w:rPr>
          <w:rFonts w:cstheme="minorHAnsi"/>
          <w:lang w:val="es-ES"/>
        </w:rPr>
      </w:pPr>
    </w:p>
    <w:tbl>
      <w:tblPr>
        <w:tblStyle w:val="TableGrid"/>
        <w:tblW w:w="0" w:type="auto"/>
        <w:tblInd w:w="846" w:type="dxa"/>
        <w:tblLook w:val="04A0" w:firstRow="1" w:lastRow="0" w:firstColumn="1" w:lastColumn="0" w:noHBand="0" w:noVBand="1"/>
      </w:tblPr>
      <w:tblGrid>
        <w:gridCol w:w="5245"/>
        <w:gridCol w:w="3259"/>
      </w:tblGrid>
      <w:tr w:rsidR="009D00F2" w14:paraId="09A2F955" w14:textId="77777777" w:rsidTr="00BF1BFF">
        <w:tc>
          <w:tcPr>
            <w:tcW w:w="5245" w:type="dxa"/>
          </w:tcPr>
          <w:p w14:paraId="62EF85F2" w14:textId="77777777" w:rsidR="009D00F2" w:rsidRPr="00B51054" w:rsidRDefault="009D00F2" w:rsidP="00844533">
            <w:pPr>
              <w:pStyle w:val="ListParagraph"/>
              <w:ind w:left="0"/>
              <w:jc w:val="center"/>
              <w:rPr>
                <w:rFonts w:cstheme="minorHAnsi"/>
                <w:b/>
                <w:bCs/>
              </w:rPr>
            </w:pPr>
            <w:r>
              <w:rPr>
                <w:rFonts w:cstheme="minorHAnsi"/>
                <w:b/>
                <w:bCs/>
                <w:lang w:val="es-US"/>
              </w:rPr>
              <w:t>Se permite:</w:t>
            </w:r>
          </w:p>
        </w:tc>
        <w:tc>
          <w:tcPr>
            <w:tcW w:w="3259" w:type="dxa"/>
          </w:tcPr>
          <w:p w14:paraId="19F290A0" w14:textId="77777777" w:rsidR="009D00F2" w:rsidRPr="00B51054" w:rsidRDefault="009D00F2" w:rsidP="00844533">
            <w:pPr>
              <w:pStyle w:val="ListParagraph"/>
              <w:ind w:left="0"/>
              <w:jc w:val="center"/>
              <w:rPr>
                <w:rFonts w:cstheme="minorHAnsi"/>
                <w:b/>
                <w:bCs/>
              </w:rPr>
            </w:pPr>
            <w:r>
              <w:rPr>
                <w:rFonts w:cstheme="minorHAnsi"/>
                <w:b/>
                <w:bCs/>
                <w:lang w:val="es-US"/>
              </w:rPr>
              <w:t>Datos:</w:t>
            </w:r>
          </w:p>
        </w:tc>
      </w:tr>
      <w:tr w:rsidR="009D00F2" w14:paraId="5E6CA40C" w14:textId="77777777" w:rsidTr="00BF1BFF">
        <w:tc>
          <w:tcPr>
            <w:tcW w:w="5245" w:type="dxa"/>
          </w:tcPr>
          <w:p w14:paraId="4C43F5FD" w14:textId="77777777" w:rsidR="009D00F2" w:rsidRPr="00846570" w:rsidRDefault="009D00F2" w:rsidP="00844533">
            <w:pPr>
              <w:pStyle w:val="ListParagraph"/>
              <w:ind w:left="0"/>
              <w:jc w:val="center"/>
              <w:rPr>
                <w:rFonts w:cstheme="minorHAnsi"/>
                <w:lang w:val="es-ES"/>
              </w:rPr>
            </w:pPr>
            <w:r>
              <w:rPr>
                <w:rFonts w:cstheme="minorHAnsi"/>
                <w:lang w:val="es-US"/>
              </w:rPr>
              <w:t>A partir del 31 de diciembre de 2021</w:t>
            </w:r>
          </w:p>
        </w:tc>
        <w:tc>
          <w:tcPr>
            <w:tcW w:w="3259" w:type="dxa"/>
          </w:tcPr>
          <w:p w14:paraId="6640C905" w14:textId="77777777" w:rsidR="009D00F2" w:rsidRDefault="009D00F2" w:rsidP="00844533">
            <w:pPr>
              <w:pStyle w:val="ListParagraph"/>
              <w:ind w:left="0"/>
              <w:jc w:val="center"/>
              <w:rPr>
                <w:rFonts w:cstheme="minorHAnsi"/>
              </w:rPr>
            </w:pPr>
            <w:r>
              <w:rPr>
                <w:rFonts w:cstheme="minorHAnsi"/>
                <w:lang w:val="es-US"/>
              </w:rPr>
              <w:t>31 de diciembre de 2021</w:t>
            </w:r>
          </w:p>
        </w:tc>
      </w:tr>
      <w:tr w:rsidR="009D00F2" w14:paraId="1C2E237C" w14:textId="77777777" w:rsidTr="00BF1BFF">
        <w:tc>
          <w:tcPr>
            <w:tcW w:w="5245" w:type="dxa"/>
          </w:tcPr>
          <w:p w14:paraId="08DE5B65" w14:textId="08BC959D" w:rsidR="009D00F2" w:rsidRPr="00846570" w:rsidRDefault="009D00F2" w:rsidP="00844533">
            <w:pPr>
              <w:pStyle w:val="ListParagraph"/>
              <w:ind w:left="0"/>
              <w:jc w:val="center"/>
              <w:rPr>
                <w:rFonts w:cstheme="minorHAnsi"/>
                <w:lang w:val="es-ES"/>
              </w:rPr>
            </w:pPr>
            <w:r>
              <w:rPr>
                <w:lang w:val="es-US"/>
              </w:rPr>
              <w:t>Entre el 1.º de enero y el 31 de enero de 2022</w:t>
            </w:r>
          </w:p>
        </w:tc>
        <w:tc>
          <w:tcPr>
            <w:tcW w:w="3259" w:type="dxa"/>
          </w:tcPr>
          <w:p w14:paraId="5564EEE8" w14:textId="77777777" w:rsidR="009D00F2" w:rsidRDefault="009D00F2" w:rsidP="00844533">
            <w:pPr>
              <w:pStyle w:val="ListParagraph"/>
              <w:ind w:left="0"/>
              <w:jc w:val="center"/>
              <w:rPr>
                <w:rFonts w:cstheme="minorHAnsi"/>
              </w:rPr>
            </w:pPr>
            <w:r>
              <w:rPr>
                <w:lang w:val="es-US"/>
              </w:rPr>
              <w:t>31 de enero de 2022</w:t>
            </w:r>
          </w:p>
        </w:tc>
      </w:tr>
      <w:tr w:rsidR="009D00F2" w14:paraId="107511C7" w14:textId="77777777" w:rsidTr="00BF1BFF">
        <w:tc>
          <w:tcPr>
            <w:tcW w:w="5245" w:type="dxa"/>
          </w:tcPr>
          <w:p w14:paraId="3114006C" w14:textId="45C44B07" w:rsidR="009D00F2" w:rsidRPr="00846570" w:rsidRDefault="009D00F2" w:rsidP="00844533">
            <w:pPr>
              <w:pStyle w:val="ListParagraph"/>
              <w:ind w:left="0"/>
              <w:jc w:val="center"/>
              <w:rPr>
                <w:rFonts w:cstheme="minorHAnsi"/>
                <w:lang w:val="es-ES"/>
              </w:rPr>
            </w:pPr>
            <w:r>
              <w:rPr>
                <w:lang w:val="es-US"/>
              </w:rPr>
              <w:t>Entre el 1.º y el 28 de febrero de 2022</w:t>
            </w:r>
          </w:p>
        </w:tc>
        <w:tc>
          <w:tcPr>
            <w:tcW w:w="3259" w:type="dxa"/>
          </w:tcPr>
          <w:p w14:paraId="676107CC" w14:textId="77777777" w:rsidR="009D00F2" w:rsidRDefault="009D00F2" w:rsidP="00844533">
            <w:pPr>
              <w:pStyle w:val="ListParagraph"/>
              <w:ind w:left="0"/>
              <w:jc w:val="center"/>
              <w:rPr>
                <w:rFonts w:cstheme="minorHAnsi"/>
              </w:rPr>
            </w:pPr>
            <w:r>
              <w:rPr>
                <w:rFonts w:cstheme="minorHAnsi"/>
                <w:lang w:val="es-US"/>
              </w:rPr>
              <w:t>28 de febrero de 2022</w:t>
            </w:r>
          </w:p>
        </w:tc>
      </w:tr>
    </w:tbl>
    <w:p w14:paraId="3010FCBE" w14:textId="679F578E" w:rsidR="00874901" w:rsidRDefault="00874901" w:rsidP="00874901">
      <w:pPr>
        <w:pStyle w:val="ListParagraph"/>
        <w:rPr>
          <w:rFonts w:cstheme="minorHAnsi"/>
          <w:b/>
          <w:bCs/>
          <w:lang w:val="es-ES"/>
        </w:rPr>
      </w:pPr>
    </w:p>
    <w:p w14:paraId="66EEC0EB" w14:textId="53437DBA" w:rsidR="00CD214E" w:rsidRDefault="00CD214E" w:rsidP="00874901">
      <w:pPr>
        <w:pStyle w:val="ListParagraph"/>
        <w:rPr>
          <w:rStyle w:val="Hyperlink"/>
          <w:lang w:val="es-US"/>
        </w:rPr>
      </w:pPr>
      <w:r w:rsidRPr="000C6898">
        <w:rPr>
          <w:rStyle w:val="Hyperlink"/>
          <w:color w:val="auto"/>
          <w:u w:val="none"/>
          <w:lang w:val="es-US"/>
        </w:rPr>
        <w:t xml:space="preserve">Para obtener más información sobre cómo se calcula el monto de financiamiento de su programa, envíe un correo electrónico </w:t>
      </w:r>
      <w:hyperlink r:id="rId28" w:history="1">
        <w:r w:rsidRPr="0077004F">
          <w:rPr>
            <w:rStyle w:val="Hyperlink"/>
            <w:lang w:val="es-US"/>
          </w:rPr>
          <w:t>CCReliefFunds@trelliscompany.org</w:t>
        </w:r>
      </w:hyperlink>
      <w:r>
        <w:rPr>
          <w:rStyle w:val="Hyperlink"/>
          <w:lang w:val="es-US"/>
        </w:rPr>
        <w:t xml:space="preserve"> </w:t>
      </w:r>
      <w:r w:rsidRPr="000C6898">
        <w:rPr>
          <w:rStyle w:val="Hyperlink"/>
          <w:color w:val="auto"/>
          <w:u w:val="none"/>
          <w:lang w:val="es-US"/>
        </w:rPr>
        <w:t>o llamar 1-833-613-3192</w:t>
      </w:r>
      <w:r w:rsidR="000C6898">
        <w:rPr>
          <w:rStyle w:val="Hyperlink"/>
          <w:color w:val="auto"/>
          <w:u w:val="none"/>
          <w:lang w:val="es-US"/>
        </w:rPr>
        <w:t>.</w:t>
      </w:r>
    </w:p>
    <w:p w14:paraId="1DB6DD5B" w14:textId="77777777" w:rsidR="00CD214E" w:rsidRPr="00874901" w:rsidRDefault="00CD214E" w:rsidP="00874901">
      <w:pPr>
        <w:pStyle w:val="ListParagraph"/>
        <w:rPr>
          <w:rFonts w:cstheme="minorHAnsi"/>
          <w:b/>
          <w:bCs/>
          <w:lang w:val="es-ES"/>
        </w:rPr>
      </w:pPr>
    </w:p>
    <w:p w14:paraId="3DB59B8A" w14:textId="34BC1F7E" w:rsidR="00F25A4E" w:rsidRPr="00846570" w:rsidRDefault="00F25A4E" w:rsidP="002C6567">
      <w:pPr>
        <w:pStyle w:val="ListParagraph"/>
        <w:numPr>
          <w:ilvl w:val="0"/>
          <w:numId w:val="4"/>
        </w:numPr>
        <w:rPr>
          <w:rFonts w:cstheme="minorHAnsi"/>
          <w:b/>
          <w:bCs/>
          <w:lang w:val="es-ES"/>
        </w:rPr>
      </w:pPr>
      <w:r>
        <w:rPr>
          <w:rFonts w:cstheme="minorHAnsi"/>
          <w:b/>
          <w:bCs/>
          <w:lang w:val="es-US"/>
        </w:rPr>
        <w:t>¿Cuál es la cantidad de financiación adicional que puedo recibir?</w:t>
      </w:r>
    </w:p>
    <w:p w14:paraId="3B0A2157" w14:textId="4A68E23D" w:rsidR="00AC03E9" w:rsidRPr="00874901" w:rsidRDefault="002760C0" w:rsidP="00AC03E9">
      <w:pPr>
        <w:ind w:left="720"/>
        <w:rPr>
          <w:rFonts w:cstheme="minorHAnsi"/>
          <w:lang w:val="es-US"/>
        </w:rPr>
      </w:pPr>
      <w:r>
        <w:rPr>
          <w:rFonts w:cstheme="minorHAnsi"/>
          <w:lang w:val="es-US"/>
        </w:rPr>
        <w:t>Un proveedor puede recibir una financiación adicional en función de una o varias de las siguientes circunstancias. Estas calificaciones pueden acumularse; por ejemplo, un proveedor podría recibir una mayor financiación por tener una calificación de calidad y</w:t>
      </w:r>
      <w:r w:rsidR="00861220">
        <w:rPr>
          <w:rFonts w:cstheme="minorHAnsi"/>
          <w:lang w:val="es-US"/>
        </w:rPr>
        <w:t> </w:t>
      </w:r>
      <w:r>
        <w:rPr>
          <w:rFonts w:cstheme="minorHAnsi"/>
          <w:lang w:val="es-US"/>
        </w:rPr>
        <w:t xml:space="preserve">trabajar en una zona con una baja oferta de cuidado infantil (Child Care Desert). </w:t>
      </w:r>
      <w:r w:rsidR="00AC03E9" w:rsidRPr="00AC03E9">
        <w:rPr>
          <w:rFonts w:cstheme="minorHAnsi"/>
          <w:lang w:val="es-ES"/>
        </w:rPr>
        <w:t xml:space="preserve">Para estimar cuánto podría recibir, consulte nuestra </w:t>
      </w:r>
      <w:hyperlink r:id="rId29" w:history="1">
        <w:r w:rsidR="00AC03E9" w:rsidRPr="00874901">
          <w:rPr>
            <w:rStyle w:val="Hyperlink"/>
            <w:rFonts w:cstheme="minorHAnsi"/>
            <w:lang w:val="es-ES"/>
          </w:rPr>
          <w:t>calculadora</w:t>
        </w:r>
      </w:hyperlink>
      <w:r w:rsidR="00AC03E9" w:rsidRPr="00AC03E9">
        <w:rPr>
          <w:rFonts w:cstheme="minorHAnsi"/>
          <w:lang w:val="es-ES"/>
        </w:rPr>
        <w:t xml:space="preserve"> en línea (nota: la calculadora en línea no tiene en cuenta la financiación </w:t>
      </w:r>
      <w:r w:rsidR="00AC03E9">
        <w:rPr>
          <w:rFonts w:cstheme="minorHAnsi"/>
          <w:lang w:val="es-ES"/>
        </w:rPr>
        <w:t>adicional</w:t>
      </w:r>
      <w:r w:rsidR="00AC03E9" w:rsidRPr="00AC03E9">
        <w:rPr>
          <w:rFonts w:cstheme="minorHAnsi"/>
          <w:lang w:val="es-ES"/>
        </w:rPr>
        <w:t xml:space="preserve"> potencial para las puntuaciones del SVI).</w:t>
      </w:r>
    </w:p>
    <w:p w14:paraId="7CE493BB" w14:textId="680460B2" w:rsidR="002760C0" w:rsidRPr="00846570" w:rsidRDefault="002760C0" w:rsidP="002760C0">
      <w:pPr>
        <w:ind w:left="720"/>
        <w:rPr>
          <w:rFonts w:cstheme="minorHAnsi"/>
          <w:lang w:val="es-ES"/>
        </w:rPr>
      </w:pPr>
    </w:p>
    <w:p w14:paraId="0AFE7EEF" w14:textId="2F94460F" w:rsidR="002760C0" w:rsidRPr="00846570" w:rsidRDefault="0004456E" w:rsidP="002760C0">
      <w:pPr>
        <w:pStyle w:val="ListParagraph"/>
        <w:numPr>
          <w:ilvl w:val="0"/>
          <w:numId w:val="2"/>
        </w:numPr>
        <w:rPr>
          <w:rFonts w:cstheme="minorHAnsi"/>
          <w:lang w:val="es-ES"/>
        </w:rPr>
      </w:pPr>
      <w:r>
        <w:rPr>
          <w:rFonts w:cstheme="minorHAnsi"/>
          <w:u w:val="single"/>
          <w:lang w:val="es-US"/>
        </w:rPr>
        <w:t>Proveedores con calificación de calidad</w:t>
      </w:r>
      <w:r>
        <w:rPr>
          <w:rFonts w:cstheme="minorHAnsi"/>
          <w:lang w:val="es-US"/>
        </w:rPr>
        <w:t>: La cantidad adicional para los proveedores con calificación de calidad, incluidos los que cuentan con la certificación Rising Star de Texas o con otro tipo de acreditación nacional, es la siguiente:</w:t>
      </w:r>
    </w:p>
    <w:p w14:paraId="4821B3FF" w14:textId="3333C59F" w:rsidR="00525F2C" w:rsidRPr="00BF1BFF" w:rsidRDefault="00975E19" w:rsidP="002760C0">
      <w:pPr>
        <w:pStyle w:val="ListParagraph"/>
        <w:numPr>
          <w:ilvl w:val="1"/>
          <w:numId w:val="2"/>
        </w:numPr>
        <w:rPr>
          <w:rFonts w:cstheme="minorHAnsi"/>
          <w:spacing w:val="-2"/>
          <w:lang w:val="es-ES"/>
        </w:rPr>
      </w:pPr>
      <w:r w:rsidRPr="00BF1BFF">
        <w:rPr>
          <w:rFonts w:cstheme="minorHAnsi"/>
          <w:spacing w:val="-2"/>
          <w:lang w:val="es-US"/>
        </w:rPr>
        <w:t>Acreditada a nivel nacional y no certificada por Texas Rising Star: 13 por ciento</w:t>
      </w:r>
    </w:p>
    <w:p w14:paraId="04E0D307" w14:textId="0281C684" w:rsidR="002760C0" w:rsidRPr="00846570" w:rsidRDefault="00AE5783" w:rsidP="002760C0">
      <w:pPr>
        <w:pStyle w:val="ListParagraph"/>
        <w:numPr>
          <w:ilvl w:val="1"/>
          <w:numId w:val="2"/>
        </w:numPr>
        <w:rPr>
          <w:rFonts w:cstheme="minorHAnsi"/>
          <w:lang w:val="es-ES"/>
        </w:rPr>
      </w:pPr>
      <w:r>
        <w:rPr>
          <w:rFonts w:cstheme="minorHAnsi"/>
          <w:lang w:val="es-US"/>
        </w:rPr>
        <w:t>Calificación de calidad de 2 estrellas de Texas Rising: 13 por ciento</w:t>
      </w:r>
    </w:p>
    <w:p w14:paraId="78040B8C" w14:textId="47A97724" w:rsidR="005066F8" w:rsidRPr="00846570" w:rsidRDefault="00AE5783" w:rsidP="002760C0">
      <w:pPr>
        <w:pStyle w:val="ListParagraph"/>
        <w:numPr>
          <w:ilvl w:val="1"/>
          <w:numId w:val="2"/>
        </w:numPr>
        <w:rPr>
          <w:rFonts w:cstheme="minorHAnsi"/>
          <w:lang w:val="es-ES"/>
        </w:rPr>
      </w:pPr>
      <w:r>
        <w:rPr>
          <w:rFonts w:cstheme="minorHAnsi"/>
          <w:lang w:val="es-US"/>
        </w:rPr>
        <w:t>Calificación de calidad de 3 estrellas de Texas Rising: 25 por ciento</w:t>
      </w:r>
    </w:p>
    <w:p w14:paraId="196FFC42" w14:textId="4A007FA2" w:rsidR="005066F8" w:rsidRPr="00846570" w:rsidRDefault="00AE5783" w:rsidP="004069D4">
      <w:pPr>
        <w:pStyle w:val="ListParagraph"/>
        <w:numPr>
          <w:ilvl w:val="1"/>
          <w:numId w:val="2"/>
        </w:numPr>
        <w:rPr>
          <w:rFonts w:cstheme="minorHAnsi"/>
          <w:lang w:val="es-ES"/>
        </w:rPr>
      </w:pPr>
      <w:r>
        <w:rPr>
          <w:rFonts w:cstheme="minorHAnsi"/>
          <w:lang w:val="es-US"/>
        </w:rPr>
        <w:t>Calificación de calidad de 4 estrellas de Texas Rising: 38 por ciento</w:t>
      </w:r>
    </w:p>
    <w:p w14:paraId="102D5141" w14:textId="77777777" w:rsidR="004069D4" w:rsidRPr="00846570" w:rsidRDefault="004069D4" w:rsidP="004069D4">
      <w:pPr>
        <w:ind w:left="1440"/>
        <w:rPr>
          <w:rFonts w:cstheme="minorHAnsi"/>
          <w:lang w:val="es-ES"/>
        </w:rPr>
      </w:pPr>
    </w:p>
    <w:p w14:paraId="12FAA90A" w14:textId="691F9D01" w:rsidR="005066F8" w:rsidRPr="00846570" w:rsidRDefault="005066F8" w:rsidP="004069D4">
      <w:pPr>
        <w:pStyle w:val="ListParagraph"/>
        <w:numPr>
          <w:ilvl w:val="0"/>
          <w:numId w:val="2"/>
        </w:numPr>
        <w:rPr>
          <w:rFonts w:cstheme="minorHAnsi"/>
          <w:lang w:val="es-ES"/>
        </w:rPr>
      </w:pPr>
      <w:r>
        <w:rPr>
          <w:rFonts w:cstheme="minorHAnsi"/>
          <w:u w:val="single"/>
          <w:lang w:val="es-US"/>
        </w:rPr>
        <w:t>Child Care Deserts</w:t>
      </w:r>
      <w:r>
        <w:rPr>
          <w:rFonts w:cstheme="minorHAnsi"/>
          <w:lang w:val="es-US"/>
        </w:rPr>
        <w:t xml:space="preserve">: Ciertos </w:t>
      </w:r>
      <w:hyperlink r:id="rId30" w:history="1">
        <w:r>
          <w:rPr>
            <w:rStyle w:val="Hyperlink"/>
            <w:rFonts w:cstheme="minorHAnsi"/>
            <w:lang w:val="es-US"/>
          </w:rPr>
          <w:t>códigos postales predeterminados, llamados zonas con baja oferta de cuidado infantil (Child Care Deserts)</w:t>
        </w:r>
      </w:hyperlink>
      <w:r>
        <w:rPr>
          <w:rFonts w:cstheme="minorHAnsi"/>
          <w:lang w:val="es-US"/>
        </w:rPr>
        <w:t>, definidos en el Código Laboral de Texas como §302.0461(b)(2)(A)(i), donde el número de niños menores de seis años cuyos padres trabajan es al menos tres veces mayor que la capacidad de los proveedores de cuidado infantil con licencia en la zona, pueden recibir una mayor financiación. Los proveedores que trabajen en zonas con baja oferta de cuidado infantil podrán recibir una cantidad superior al 10 %.</w:t>
      </w:r>
    </w:p>
    <w:p w14:paraId="7CD72825" w14:textId="77777777" w:rsidR="004069D4" w:rsidRPr="00846570" w:rsidRDefault="004069D4" w:rsidP="004069D4">
      <w:pPr>
        <w:ind w:left="720"/>
        <w:rPr>
          <w:rFonts w:cstheme="minorHAnsi"/>
          <w:lang w:val="es-ES"/>
        </w:rPr>
      </w:pPr>
    </w:p>
    <w:p w14:paraId="1BEF2365" w14:textId="5191F669" w:rsidR="001C75A3" w:rsidRPr="00846570" w:rsidRDefault="00257B91" w:rsidP="005066F8">
      <w:pPr>
        <w:pStyle w:val="ListParagraph"/>
        <w:numPr>
          <w:ilvl w:val="0"/>
          <w:numId w:val="2"/>
        </w:numPr>
        <w:rPr>
          <w:rFonts w:cstheme="minorHAnsi"/>
          <w:lang w:val="es-ES"/>
        </w:rPr>
      </w:pPr>
      <w:r>
        <w:rPr>
          <w:rFonts w:cstheme="minorHAnsi"/>
          <w:u w:val="single"/>
          <w:lang w:val="es-US"/>
        </w:rPr>
        <w:t>Índice de vulnerabilidad social (SVI)</w:t>
      </w:r>
      <w:r>
        <w:rPr>
          <w:rFonts w:cstheme="minorHAnsi"/>
          <w:lang w:val="es-US"/>
        </w:rPr>
        <w:t xml:space="preserve">: El </w:t>
      </w:r>
      <w:hyperlink r:id="rId31" w:history="1">
        <w:r>
          <w:rPr>
            <w:rStyle w:val="Hyperlink"/>
            <w:rFonts w:cstheme="minorHAnsi"/>
            <w:lang w:val="es-US"/>
          </w:rPr>
          <w:t>SVI es una medida de los CDC</w:t>
        </w:r>
      </w:hyperlink>
      <w:r>
        <w:rPr>
          <w:rFonts w:cstheme="minorHAnsi"/>
          <w:lang w:val="es-US"/>
        </w:rPr>
        <w:t xml:space="preserve"> que utiliza 15</w:t>
      </w:r>
      <w:r w:rsidR="00861220">
        <w:rPr>
          <w:rFonts w:cstheme="minorHAnsi"/>
          <w:lang w:val="es-US"/>
        </w:rPr>
        <w:t> </w:t>
      </w:r>
      <w:r>
        <w:rPr>
          <w:rFonts w:cstheme="minorHAnsi"/>
          <w:lang w:val="es-US"/>
        </w:rPr>
        <w:t xml:space="preserve">variables del censo para ayudar a identificar a las comunidades que pueden necesitar apoyo adicional antes, durante o después de los desastres. A los sectores censales se les asigna una puntuación del SVI entre 0 y 1 (siendo 1 las zonas con </w:t>
      </w:r>
      <w:r>
        <w:rPr>
          <w:rFonts w:cstheme="minorHAnsi"/>
          <w:lang w:val="es-US"/>
        </w:rPr>
        <w:lastRenderedPageBreak/>
        <w:t xml:space="preserve">menos recursos). Los planificadores utilizan el SVI para identificar a las comunidades que necesitarán apoyo adicional para recuperarse tras una emergencia. El grado en que una comunidad presenta ciertas condiciones sociales, como pobreza elevada, bajo porcentaje de acceso a vehículos y hogares sobrepoblados, puede afectar a la capacidad de esa comunidad para afrontar y responder a las pérdidas financieras en caso de catástrofe. </w:t>
      </w:r>
    </w:p>
    <w:p w14:paraId="31BAF7B2" w14:textId="77777777" w:rsidR="001C75A3" w:rsidRPr="00846570" w:rsidRDefault="001C75A3" w:rsidP="001C75A3">
      <w:pPr>
        <w:pStyle w:val="ListParagraph"/>
        <w:ind w:left="1080"/>
        <w:rPr>
          <w:rFonts w:cstheme="minorHAnsi"/>
          <w:lang w:val="es-ES"/>
        </w:rPr>
      </w:pPr>
    </w:p>
    <w:p w14:paraId="273C60C5" w14:textId="1902730B" w:rsidR="000915F7" w:rsidRPr="00857A01" w:rsidRDefault="000915F7" w:rsidP="000915F7">
      <w:pPr>
        <w:ind w:left="1080" w:rightChars="-57" w:right="-137"/>
        <w:rPr>
          <w:rFonts w:cstheme="minorHAnsi"/>
          <w:lang w:val="es-ES"/>
        </w:rPr>
      </w:pPr>
      <w:r w:rsidRPr="000915F7">
        <w:rPr>
          <w:rFonts w:cstheme="minorHAnsi"/>
          <w:lang w:val="es-ES"/>
        </w:rPr>
        <w:t>La TWC utilizará el conjunto de datos de Texas SVI para identificar el riesgo relativo de los condados de Texas entre sí. Esto le permite a la TWC determinar si la ubicación de un proveedor es más vulnerable o está en riesgo en relación con otras ubicaciones en Texas, en lugar de en relación con todas las demás ubicaciones en los US. La TWC utilizará el SVI de Texas para apoyar las áreas con mayor necesidad al aumentar las asignaciones de la siguiente manera</w:t>
      </w:r>
      <w:r>
        <w:rPr>
          <w:rFonts w:cstheme="minorHAnsi"/>
          <w:lang w:val="es-ES"/>
        </w:rPr>
        <w:t>:</w:t>
      </w:r>
    </w:p>
    <w:p w14:paraId="1EB10C87" w14:textId="11B7DB1F" w:rsidR="00B31F5E" w:rsidRPr="00846570" w:rsidRDefault="00B31F5E" w:rsidP="00D02E91">
      <w:pPr>
        <w:pStyle w:val="ListParagraph"/>
        <w:numPr>
          <w:ilvl w:val="1"/>
          <w:numId w:val="2"/>
        </w:numPr>
        <w:ind w:rightChars="-57" w:right="-137"/>
        <w:rPr>
          <w:rFonts w:cstheme="minorHAnsi"/>
          <w:lang w:val="es-ES"/>
        </w:rPr>
      </w:pPr>
      <w:r w:rsidRPr="00D02E91">
        <w:rPr>
          <w:rFonts w:cstheme="minorHAnsi"/>
          <w:spacing w:val="-2"/>
          <w:lang w:val="es-US"/>
        </w:rPr>
        <w:t xml:space="preserve">Un programa situado en un área (sector censal) con un SVI de 0.750 o superior: </w:t>
      </w:r>
      <w:r>
        <w:rPr>
          <w:rFonts w:cstheme="minorHAnsi"/>
          <w:lang w:val="es-US"/>
        </w:rPr>
        <w:t>10 por ciento</w:t>
      </w:r>
    </w:p>
    <w:p w14:paraId="683B775B" w14:textId="0D8F3483" w:rsidR="00B31F5E" w:rsidRPr="00846570" w:rsidRDefault="00B31F5E" w:rsidP="00334B64">
      <w:pPr>
        <w:pStyle w:val="ListParagraph"/>
        <w:numPr>
          <w:ilvl w:val="1"/>
          <w:numId w:val="2"/>
        </w:numPr>
        <w:rPr>
          <w:rFonts w:cstheme="minorHAnsi"/>
          <w:lang w:val="es-ES"/>
        </w:rPr>
      </w:pPr>
      <w:r>
        <w:rPr>
          <w:rFonts w:cstheme="minorHAnsi"/>
          <w:lang w:val="es-US"/>
        </w:rPr>
        <w:t>Un programa situado en un área (zona censal) con un SVI de 0.600 a 0.749: 5</w:t>
      </w:r>
      <w:r w:rsidR="00D02E91">
        <w:rPr>
          <w:rFonts w:cstheme="minorHAnsi"/>
          <w:lang w:val="es-US"/>
        </w:rPr>
        <w:t> </w:t>
      </w:r>
      <w:r>
        <w:rPr>
          <w:rFonts w:cstheme="minorHAnsi"/>
          <w:lang w:val="es-US"/>
        </w:rPr>
        <w:t>por ciento</w:t>
      </w:r>
    </w:p>
    <w:p w14:paraId="5871FA0A" w14:textId="77777777" w:rsidR="00F25A4E" w:rsidRPr="00846570" w:rsidRDefault="00F25A4E" w:rsidP="002760C0">
      <w:pPr>
        <w:pStyle w:val="ListParagraph"/>
        <w:rPr>
          <w:rFonts w:cstheme="minorHAnsi"/>
          <w:b/>
          <w:bCs/>
          <w:lang w:val="es-ES"/>
        </w:rPr>
      </w:pPr>
    </w:p>
    <w:p w14:paraId="4D5BFE3F" w14:textId="350C46E3" w:rsidR="00CB08BE" w:rsidRPr="00846570" w:rsidRDefault="00CB08BE" w:rsidP="00D02E91">
      <w:pPr>
        <w:pStyle w:val="ListParagraph"/>
        <w:keepNext/>
        <w:numPr>
          <w:ilvl w:val="0"/>
          <w:numId w:val="4"/>
        </w:numPr>
        <w:ind w:left="714" w:hanging="357"/>
        <w:rPr>
          <w:rFonts w:cstheme="minorHAnsi"/>
          <w:b/>
          <w:bCs/>
          <w:lang w:val="es-ES"/>
        </w:rPr>
      </w:pPr>
      <w:r>
        <w:rPr>
          <w:rFonts w:cstheme="minorHAnsi"/>
          <w:b/>
          <w:bCs/>
          <w:lang w:val="es-US"/>
        </w:rPr>
        <w:t>¿Cómo puedo solicitar fondos?</w:t>
      </w:r>
    </w:p>
    <w:p w14:paraId="566197B1" w14:textId="59331F40" w:rsidR="00A92F23" w:rsidRPr="00EB2804" w:rsidRDefault="00CB08BE" w:rsidP="00CD214E">
      <w:pPr>
        <w:pStyle w:val="ListParagraph"/>
        <w:rPr>
          <w:b/>
          <w:bCs/>
          <w:lang w:val="es-US"/>
        </w:rPr>
      </w:pPr>
      <w:r>
        <w:rPr>
          <w:lang w:val="es-US"/>
        </w:rPr>
        <w:t xml:space="preserve">Una vez aprobada la solicitud completa, el proveedor recibirá sus fondos en cuatro pagos trimestrales iguales. Los proveedores no necesitan solicitar los fondos. </w:t>
      </w:r>
      <w:r>
        <w:rPr>
          <w:b/>
          <w:bCs/>
          <w:lang w:val="es-US"/>
        </w:rPr>
        <w:t>Antes de</w:t>
      </w:r>
      <w:r w:rsidR="00D02E91">
        <w:rPr>
          <w:b/>
          <w:bCs/>
          <w:lang w:val="es-US"/>
        </w:rPr>
        <w:t> </w:t>
      </w:r>
      <w:r>
        <w:rPr>
          <w:b/>
          <w:bCs/>
          <w:lang w:val="es-US"/>
        </w:rPr>
        <w:t>recibir el segundo, tercer y cuarto pago, los proveedores deberán presentar información sobre el uso de los fondos recibidos anteriormente.</w:t>
      </w:r>
      <w:r>
        <w:rPr>
          <w:lang w:val="es-US"/>
        </w:rPr>
        <w:t xml:space="preserve"> La TWC no liberará los</w:t>
      </w:r>
      <w:r w:rsidR="00D02E91">
        <w:rPr>
          <w:lang w:val="es-US"/>
        </w:rPr>
        <w:t> </w:t>
      </w:r>
      <w:r>
        <w:rPr>
          <w:lang w:val="es-US"/>
        </w:rPr>
        <w:t>pagos posteriores hasta que confirme que un programa ha presentado esta información. La TWC también confirmará que los proveedores siguen funcionando antes de enviar cada pago trimestral. La TWC emitirá los fondos después de confirmar que usted ha proporcionado los datos requeridos sobre el uso de los fondos y que su negocio sigue abierto y en funcionamiento.</w:t>
      </w:r>
      <w:r w:rsidR="00B2742C" w:rsidRPr="00BE6E69">
        <w:rPr>
          <w:lang w:val="es-ES"/>
        </w:rPr>
        <w:t xml:space="preserve"> </w:t>
      </w:r>
      <w:r w:rsidR="00B2742C" w:rsidRPr="00B2742C">
        <w:rPr>
          <w:lang w:val="es-US"/>
        </w:rPr>
        <w:t>El último día para solicitar fondos para el CCRF de 2022 es el 15 de octubre de 2023.</w:t>
      </w:r>
      <w:r w:rsidR="00EB2804">
        <w:rPr>
          <w:lang w:val="es-US"/>
        </w:rPr>
        <w:t xml:space="preserve"> </w:t>
      </w:r>
      <w:r w:rsidR="00EB2804" w:rsidRPr="00EB2804">
        <w:rPr>
          <w:b/>
          <w:bCs/>
          <w:lang w:val="es-US"/>
        </w:rPr>
        <w:t>Los fondos que no hayan sido solicitados antes del 15 de octubre de 2023 se perderán.</w:t>
      </w:r>
    </w:p>
    <w:p w14:paraId="581008C7" w14:textId="18F63366" w:rsidR="00CD214E" w:rsidRDefault="00CD214E" w:rsidP="00CD214E">
      <w:pPr>
        <w:pStyle w:val="ListParagraph"/>
        <w:rPr>
          <w:lang w:val="es-US"/>
        </w:rPr>
      </w:pPr>
    </w:p>
    <w:p w14:paraId="381E7D3D" w14:textId="04B754F2" w:rsidR="007D0DB2" w:rsidRDefault="007D0DB2" w:rsidP="00CD214E">
      <w:pPr>
        <w:pStyle w:val="ListParagraph"/>
        <w:rPr>
          <w:lang w:val="es-US"/>
        </w:rPr>
      </w:pPr>
    </w:p>
    <w:p w14:paraId="08427BD8" w14:textId="7995BC39" w:rsidR="007D0DB2" w:rsidRDefault="007D0DB2" w:rsidP="00CD214E">
      <w:pPr>
        <w:pStyle w:val="ListParagraph"/>
        <w:rPr>
          <w:lang w:val="es-US"/>
        </w:rPr>
      </w:pPr>
    </w:p>
    <w:p w14:paraId="0062BDBD" w14:textId="6715A5D8" w:rsidR="007D0DB2" w:rsidRDefault="007D0DB2" w:rsidP="00CD214E">
      <w:pPr>
        <w:pStyle w:val="ListParagraph"/>
        <w:rPr>
          <w:lang w:val="es-US"/>
        </w:rPr>
      </w:pPr>
    </w:p>
    <w:p w14:paraId="4488336D" w14:textId="3829AA4D" w:rsidR="007D0DB2" w:rsidRDefault="007D0DB2" w:rsidP="00CD214E">
      <w:pPr>
        <w:pStyle w:val="ListParagraph"/>
        <w:rPr>
          <w:lang w:val="es-US"/>
        </w:rPr>
      </w:pPr>
    </w:p>
    <w:p w14:paraId="31770D50" w14:textId="3F467886" w:rsidR="007D0DB2" w:rsidRDefault="007D0DB2" w:rsidP="00CD214E">
      <w:pPr>
        <w:pStyle w:val="ListParagraph"/>
        <w:rPr>
          <w:lang w:val="es-US"/>
        </w:rPr>
      </w:pPr>
    </w:p>
    <w:p w14:paraId="0D8A8AF1" w14:textId="1701065C" w:rsidR="007D0DB2" w:rsidRDefault="007D0DB2" w:rsidP="00CD214E">
      <w:pPr>
        <w:pStyle w:val="ListParagraph"/>
        <w:rPr>
          <w:lang w:val="es-US"/>
        </w:rPr>
      </w:pPr>
    </w:p>
    <w:p w14:paraId="1D5DC3DA" w14:textId="312F402A" w:rsidR="007D0DB2" w:rsidRDefault="007D0DB2" w:rsidP="00CD214E">
      <w:pPr>
        <w:pStyle w:val="ListParagraph"/>
        <w:rPr>
          <w:lang w:val="es-US"/>
        </w:rPr>
      </w:pPr>
    </w:p>
    <w:p w14:paraId="7CBD470C" w14:textId="045B959E" w:rsidR="007D0DB2" w:rsidRDefault="007D0DB2" w:rsidP="00CD214E">
      <w:pPr>
        <w:pStyle w:val="ListParagraph"/>
        <w:rPr>
          <w:lang w:val="es-US"/>
        </w:rPr>
      </w:pPr>
    </w:p>
    <w:p w14:paraId="4887846C" w14:textId="11EFFBA7" w:rsidR="007D0DB2" w:rsidRDefault="007D0DB2" w:rsidP="00CD214E">
      <w:pPr>
        <w:pStyle w:val="ListParagraph"/>
        <w:rPr>
          <w:lang w:val="es-US"/>
        </w:rPr>
      </w:pPr>
    </w:p>
    <w:p w14:paraId="3E95F608" w14:textId="1A0C6BDF" w:rsidR="007D0DB2" w:rsidRDefault="007D0DB2" w:rsidP="00CD214E">
      <w:pPr>
        <w:pStyle w:val="ListParagraph"/>
        <w:rPr>
          <w:lang w:val="es-US"/>
        </w:rPr>
      </w:pPr>
    </w:p>
    <w:p w14:paraId="6993111E" w14:textId="4A049433" w:rsidR="007D0DB2" w:rsidRDefault="007D0DB2" w:rsidP="00CD214E">
      <w:pPr>
        <w:pStyle w:val="ListParagraph"/>
        <w:rPr>
          <w:lang w:val="es-US"/>
        </w:rPr>
      </w:pPr>
    </w:p>
    <w:p w14:paraId="2CB63C60" w14:textId="6636EC2A" w:rsidR="007D0DB2" w:rsidRDefault="007D0DB2" w:rsidP="00CD214E">
      <w:pPr>
        <w:pStyle w:val="ListParagraph"/>
        <w:rPr>
          <w:lang w:val="es-US"/>
        </w:rPr>
      </w:pPr>
    </w:p>
    <w:p w14:paraId="640EF76C" w14:textId="2D36E737" w:rsidR="007D0DB2" w:rsidRDefault="007D0DB2" w:rsidP="00CD214E">
      <w:pPr>
        <w:pStyle w:val="ListParagraph"/>
        <w:rPr>
          <w:lang w:val="es-US"/>
        </w:rPr>
      </w:pPr>
    </w:p>
    <w:p w14:paraId="2E5101EC" w14:textId="74C38583" w:rsidR="007D0DB2" w:rsidRDefault="007D0DB2" w:rsidP="00CD214E">
      <w:pPr>
        <w:pStyle w:val="ListParagraph"/>
        <w:rPr>
          <w:lang w:val="es-US"/>
        </w:rPr>
      </w:pPr>
    </w:p>
    <w:p w14:paraId="0BE5D712" w14:textId="0B789759" w:rsidR="007D0DB2" w:rsidRDefault="007D0DB2" w:rsidP="00CD214E">
      <w:pPr>
        <w:pStyle w:val="ListParagraph"/>
        <w:rPr>
          <w:lang w:val="es-US"/>
        </w:rPr>
      </w:pPr>
    </w:p>
    <w:p w14:paraId="2C52E196" w14:textId="77777777" w:rsidR="007D0DB2" w:rsidRDefault="007D0DB2" w:rsidP="00CD214E">
      <w:pPr>
        <w:pStyle w:val="ListParagraph"/>
        <w:rPr>
          <w:lang w:val="es-US"/>
        </w:rPr>
      </w:pPr>
    </w:p>
    <w:p w14:paraId="220C1225" w14:textId="2D7668FF" w:rsidR="00CD214E" w:rsidRPr="00CD214E" w:rsidRDefault="00CD214E" w:rsidP="00CD214E">
      <w:pPr>
        <w:pStyle w:val="Caption"/>
        <w:keepNext/>
        <w:jc w:val="center"/>
        <w:rPr>
          <w:b/>
          <w:bCs/>
          <w:sz w:val="24"/>
          <w:szCs w:val="24"/>
          <w:lang w:val="es-ES"/>
        </w:rPr>
      </w:pPr>
      <w:r w:rsidRPr="00EE12BD">
        <w:rPr>
          <w:b/>
          <w:bCs/>
          <w:sz w:val="24"/>
          <w:szCs w:val="24"/>
          <w:lang w:val="es-US"/>
        </w:rPr>
        <w:t xml:space="preserve">Tabla </w:t>
      </w:r>
      <w:r w:rsidRPr="00EE12BD">
        <w:rPr>
          <w:b/>
          <w:bCs/>
          <w:sz w:val="24"/>
          <w:szCs w:val="24"/>
          <w:lang w:val="es-US"/>
        </w:rPr>
        <w:fldChar w:fldCharType="begin"/>
      </w:r>
      <w:r w:rsidRPr="00EE12BD">
        <w:rPr>
          <w:b/>
          <w:bCs/>
          <w:sz w:val="24"/>
          <w:szCs w:val="24"/>
          <w:lang w:val="es-US"/>
        </w:rPr>
        <w:instrText xml:space="preserve"> SEQ Table \* ARABIC </w:instrText>
      </w:r>
      <w:r w:rsidRPr="00EE12BD">
        <w:rPr>
          <w:b/>
          <w:bCs/>
          <w:sz w:val="24"/>
          <w:szCs w:val="24"/>
          <w:lang w:val="es-US"/>
        </w:rPr>
        <w:fldChar w:fldCharType="separate"/>
      </w:r>
      <w:r w:rsidRPr="00EE12BD">
        <w:rPr>
          <w:b/>
          <w:bCs/>
          <w:noProof/>
          <w:sz w:val="24"/>
          <w:szCs w:val="24"/>
          <w:lang w:val="es-US"/>
        </w:rPr>
        <w:t>2</w:t>
      </w:r>
      <w:r w:rsidRPr="00EE12BD">
        <w:rPr>
          <w:b/>
          <w:bCs/>
          <w:sz w:val="24"/>
          <w:szCs w:val="24"/>
          <w:lang w:val="es-US"/>
        </w:rPr>
        <w:fldChar w:fldCharType="end"/>
      </w:r>
      <w:r w:rsidRPr="00EE12BD">
        <w:rPr>
          <w:b/>
          <w:bCs/>
          <w:sz w:val="24"/>
          <w:szCs w:val="24"/>
          <w:lang w:val="es-US"/>
        </w:rPr>
        <w:t>: Calendario y ejemplos de pagos trimestrales</w:t>
      </w:r>
    </w:p>
    <w:tbl>
      <w:tblPr>
        <w:tblStyle w:val="TableGrid"/>
        <w:tblpPr w:leftFromText="180" w:rightFromText="180" w:vertAnchor="text" w:horzAnchor="margin" w:tblpX="-635" w:tblpY="348"/>
        <w:tblW w:w="10795" w:type="dxa"/>
        <w:tblLook w:val="04A0" w:firstRow="1" w:lastRow="0" w:firstColumn="1" w:lastColumn="0" w:noHBand="0" w:noVBand="1"/>
      </w:tblPr>
      <w:tblGrid>
        <w:gridCol w:w="1608"/>
        <w:gridCol w:w="1529"/>
        <w:gridCol w:w="1392"/>
        <w:gridCol w:w="1587"/>
        <w:gridCol w:w="1676"/>
        <w:gridCol w:w="1553"/>
        <w:gridCol w:w="1450"/>
      </w:tblGrid>
      <w:tr w:rsidR="00A40C68" w14:paraId="1905B29C" w14:textId="77777777" w:rsidTr="005214A4">
        <w:tc>
          <w:tcPr>
            <w:tcW w:w="1608" w:type="dxa"/>
          </w:tcPr>
          <w:p w14:paraId="47C390A1" w14:textId="77777777" w:rsidR="00A40C68" w:rsidRPr="00846570" w:rsidRDefault="00A40C68" w:rsidP="00A40C68">
            <w:pPr>
              <w:pStyle w:val="ListParagraph"/>
              <w:ind w:left="-558"/>
              <w:rPr>
                <w:rFonts w:cstheme="minorHAnsi"/>
                <w:lang w:val="es-ES"/>
              </w:rPr>
            </w:pPr>
          </w:p>
        </w:tc>
        <w:tc>
          <w:tcPr>
            <w:tcW w:w="1529" w:type="dxa"/>
          </w:tcPr>
          <w:p w14:paraId="34905DCF" w14:textId="626907E0" w:rsidR="00A40C68" w:rsidRDefault="00AC03E9" w:rsidP="00A40C68">
            <w:pPr>
              <w:pStyle w:val="ListParagraph"/>
              <w:ind w:left="0"/>
              <w:rPr>
                <w:rFonts w:cstheme="minorHAnsi"/>
                <w:b/>
                <w:bCs/>
              </w:rPr>
            </w:pPr>
            <w:r w:rsidRPr="00D12386">
              <w:rPr>
                <w:rFonts w:cstheme="minorHAnsi"/>
                <w:b/>
                <w:bCs/>
                <w:lang w:val="es-ES"/>
              </w:rPr>
              <w:br/>
            </w:r>
            <w:r>
              <w:rPr>
                <w:rFonts w:cstheme="minorHAnsi"/>
                <w:b/>
                <w:bCs/>
              </w:rPr>
              <w:t>A</w:t>
            </w:r>
            <w:r w:rsidRPr="00AC03E9">
              <w:rPr>
                <w:rFonts w:cstheme="minorHAnsi"/>
                <w:b/>
                <w:bCs/>
              </w:rPr>
              <w:t>probación de la solicitud</w:t>
            </w:r>
          </w:p>
        </w:tc>
        <w:tc>
          <w:tcPr>
            <w:tcW w:w="1392" w:type="dxa"/>
          </w:tcPr>
          <w:p w14:paraId="216BA891" w14:textId="77777777" w:rsidR="00A40C68" w:rsidRPr="001034F4" w:rsidRDefault="00A40C68" w:rsidP="00A40C68">
            <w:pPr>
              <w:pStyle w:val="ListParagraph"/>
              <w:ind w:left="0"/>
              <w:rPr>
                <w:rFonts w:cstheme="minorHAnsi"/>
                <w:b/>
                <w:bCs/>
              </w:rPr>
            </w:pPr>
            <w:r>
              <w:rPr>
                <w:rFonts w:cstheme="minorHAnsi"/>
                <w:b/>
                <w:bCs/>
                <w:lang w:val="es-US"/>
              </w:rPr>
              <w:t>Primer pago</w:t>
            </w:r>
          </w:p>
        </w:tc>
        <w:tc>
          <w:tcPr>
            <w:tcW w:w="1587" w:type="dxa"/>
          </w:tcPr>
          <w:p w14:paraId="3A2E7866" w14:textId="77777777" w:rsidR="00A40C68" w:rsidRPr="001034F4" w:rsidRDefault="00A40C68" w:rsidP="00A40C68">
            <w:pPr>
              <w:pStyle w:val="ListParagraph"/>
              <w:ind w:left="0"/>
              <w:rPr>
                <w:rFonts w:cstheme="minorHAnsi"/>
                <w:b/>
                <w:bCs/>
              </w:rPr>
            </w:pPr>
            <w:r>
              <w:rPr>
                <w:rFonts w:cstheme="minorHAnsi"/>
                <w:b/>
                <w:bCs/>
                <w:lang w:val="es-US"/>
              </w:rPr>
              <w:t>Segundo pago</w:t>
            </w:r>
          </w:p>
        </w:tc>
        <w:tc>
          <w:tcPr>
            <w:tcW w:w="1676" w:type="dxa"/>
          </w:tcPr>
          <w:p w14:paraId="23CDC3F6" w14:textId="77777777" w:rsidR="00A40C68" w:rsidRPr="001034F4" w:rsidRDefault="00A40C68" w:rsidP="00A40C68">
            <w:pPr>
              <w:pStyle w:val="ListParagraph"/>
              <w:ind w:left="0"/>
              <w:rPr>
                <w:rFonts w:cstheme="minorHAnsi"/>
                <w:b/>
                <w:bCs/>
              </w:rPr>
            </w:pPr>
            <w:r>
              <w:rPr>
                <w:rFonts w:cstheme="minorHAnsi"/>
                <w:b/>
                <w:bCs/>
                <w:lang w:val="es-US"/>
              </w:rPr>
              <w:t>Tercer pago</w:t>
            </w:r>
          </w:p>
        </w:tc>
        <w:tc>
          <w:tcPr>
            <w:tcW w:w="1553" w:type="dxa"/>
          </w:tcPr>
          <w:p w14:paraId="27E38537" w14:textId="77777777" w:rsidR="00A40C68" w:rsidRPr="001034F4" w:rsidRDefault="00A40C68" w:rsidP="00A40C68">
            <w:pPr>
              <w:pStyle w:val="ListParagraph"/>
              <w:ind w:left="0"/>
              <w:rPr>
                <w:rFonts w:cstheme="minorHAnsi"/>
                <w:b/>
                <w:bCs/>
              </w:rPr>
            </w:pPr>
            <w:r>
              <w:rPr>
                <w:rFonts w:cstheme="minorHAnsi"/>
                <w:b/>
                <w:bCs/>
                <w:lang w:val="es-US"/>
              </w:rPr>
              <w:t>Cuarto pago</w:t>
            </w:r>
          </w:p>
        </w:tc>
        <w:tc>
          <w:tcPr>
            <w:tcW w:w="1450" w:type="dxa"/>
          </w:tcPr>
          <w:p w14:paraId="5E7A6871" w14:textId="720AF230" w:rsidR="00A40C68" w:rsidRPr="001034F4" w:rsidRDefault="00A40C68" w:rsidP="00A40C68">
            <w:pPr>
              <w:pStyle w:val="ListParagraph"/>
              <w:ind w:left="0"/>
              <w:rPr>
                <w:rFonts w:cstheme="minorHAnsi"/>
                <w:b/>
                <w:bCs/>
              </w:rPr>
            </w:pPr>
            <w:r>
              <w:rPr>
                <w:rFonts w:cstheme="minorHAnsi"/>
                <w:b/>
                <w:bCs/>
                <w:lang w:val="es-US"/>
              </w:rPr>
              <w:t>Informe final</w:t>
            </w:r>
          </w:p>
        </w:tc>
      </w:tr>
      <w:tr w:rsidR="00A40C68" w:rsidRPr="00BE6E69" w14:paraId="5213848A" w14:textId="77777777" w:rsidTr="005214A4">
        <w:tc>
          <w:tcPr>
            <w:tcW w:w="1608" w:type="dxa"/>
          </w:tcPr>
          <w:p w14:paraId="0AA1D24F" w14:textId="77777777" w:rsidR="00A40C68" w:rsidRPr="00E4365E" w:rsidRDefault="00A40C68" w:rsidP="00A40C68">
            <w:pPr>
              <w:pStyle w:val="ListParagraph"/>
              <w:ind w:left="0"/>
              <w:rPr>
                <w:rFonts w:cstheme="minorHAnsi"/>
                <w:b/>
                <w:bCs/>
              </w:rPr>
            </w:pPr>
            <w:r>
              <w:rPr>
                <w:rFonts w:cstheme="minorHAnsi"/>
                <w:b/>
                <w:bCs/>
                <w:lang w:val="es-US"/>
              </w:rPr>
              <w:t>Programación</w:t>
            </w:r>
          </w:p>
        </w:tc>
        <w:tc>
          <w:tcPr>
            <w:tcW w:w="1529" w:type="dxa"/>
          </w:tcPr>
          <w:p w14:paraId="7D0DC6AF" w14:textId="72600798" w:rsidR="00A40C68" w:rsidRPr="00846570" w:rsidRDefault="00A40C68" w:rsidP="00A40C68">
            <w:pPr>
              <w:pStyle w:val="ListParagraph"/>
              <w:ind w:left="0"/>
              <w:rPr>
                <w:rFonts w:cstheme="minorHAnsi"/>
                <w:spacing w:val="-1"/>
                <w:lang w:val="es-ES"/>
              </w:rPr>
            </w:pPr>
            <w:r>
              <w:rPr>
                <w:rFonts w:cstheme="minorHAnsi"/>
                <w:lang w:val="es-US"/>
              </w:rPr>
              <w:t>La TWC comenzará a</w:t>
            </w:r>
            <w:r w:rsidR="005214A4">
              <w:rPr>
                <w:rFonts w:cstheme="minorHAnsi"/>
                <w:lang w:val="es-US"/>
              </w:rPr>
              <w:t> </w:t>
            </w:r>
            <w:r>
              <w:rPr>
                <w:rFonts w:cstheme="minorHAnsi"/>
                <w:lang w:val="es-US"/>
              </w:rPr>
              <w:t xml:space="preserve">aceptar solicitudes de forma continua en </w:t>
            </w:r>
            <w:r w:rsidR="00AC03E9">
              <w:rPr>
                <w:rFonts w:cstheme="minorHAnsi"/>
                <w:lang w:val="es-US"/>
              </w:rPr>
              <w:t>marzo</w:t>
            </w:r>
            <w:r>
              <w:rPr>
                <w:rFonts w:cstheme="minorHAnsi"/>
                <w:lang w:val="es-US"/>
              </w:rPr>
              <w:t>de 2022 y seguirá aceptando solicitudes hasta el 31 de mayo de 2022.</w:t>
            </w:r>
          </w:p>
        </w:tc>
        <w:tc>
          <w:tcPr>
            <w:tcW w:w="1392" w:type="dxa"/>
          </w:tcPr>
          <w:p w14:paraId="148C2B4D" w14:textId="55A61B1A" w:rsidR="00A40C68" w:rsidRPr="00846570" w:rsidRDefault="00AC03E9" w:rsidP="00A40C68">
            <w:pPr>
              <w:pStyle w:val="ListParagraph"/>
              <w:ind w:left="0"/>
              <w:rPr>
                <w:rFonts w:cstheme="minorHAnsi"/>
                <w:lang w:val="es-ES"/>
              </w:rPr>
            </w:pPr>
            <w:r w:rsidRPr="00874901">
              <w:rPr>
                <w:rFonts w:cstheme="minorHAnsi"/>
                <w:lang w:val="es-US"/>
              </w:rPr>
              <w:br/>
              <w:t xml:space="preserve">Por lo general, se emite dentro de los 7 días posteriores a la aprobación de la </w:t>
            </w:r>
            <w:proofErr w:type="gramStart"/>
            <w:r w:rsidRPr="00874901">
              <w:rPr>
                <w:rFonts w:cstheme="minorHAnsi"/>
                <w:lang w:val="es-US"/>
              </w:rPr>
              <w:t>solicitud.</w:t>
            </w:r>
            <w:r w:rsidR="00A40C68">
              <w:rPr>
                <w:rFonts w:cstheme="minorHAnsi"/>
                <w:lang w:val="es-US"/>
              </w:rPr>
              <w:t>Se</w:t>
            </w:r>
            <w:proofErr w:type="gramEnd"/>
            <w:r w:rsidR="00A40C68">
              <w:rPr>
                <w:rFonts w:cstheme="minorHAnsi"/>
                <w:lang w:val="es-US"/>
              </w:rPr>
              <w:t xml:space="preserve"> emite en un plazo de 7 días a partir de la aprobación de la solicitud</w:t>
            </w:r>
          </w:p>
        </w:tc>
        <w:tc>
          <w:tcPr>
            <w:tcW w:w="1587" w:type="dxa"/>
          </w:tcPr>
          <w:p w14:paraId="6065E909" w14:textId="17CB9238" w:rsidR="00A40C68" w:rsidRPr="00846570" w:rsidRDefault="00A40C68" w:rsidP="00A40C68">
            <w:pPr>
              <w:pStyle w:val="ListParagraph"/>
              <w:ind w:left="0"/>
              <w:rPr>
                <w:rFonts w:cstheme="minorHAnsi"/>
                <w:lang w:val="es-ES"/>
              </w:rPr>
            </w:pPr>
            <w:r>
              <w:rPr>
                <w:rFonts w:cstheme="minorHAnsi"/>
                <w:lang w:val="es-US"/>
              </w:rPr>
              <w:t>Se emite 3</w:t>
            </w:r>
            <w:r w:rsidR="005214A4">
              <w:rPr>
                <w:rFonts w:cstheme="minorHAnsi"/>
                <w:lang w:val="es-US"/>
              </w:rPr>
              <w:t> </w:t>
            </w:r>
            <w:r>
              <w:rPr>
                <w:rFonts w:cstheme="minorHAnsi"/>
                <w:lang w:val="es-US"/>
              </w:rPr>
              <w:t>meses después de la fecha de aprobación de la solicitud</w:t>
            </w:r>
            <w:r w:rsidR="00AC03E9">
              <w:rPr>
                <w:rFonts w:cstheme="minorHAnsi"/>
                <w:lang w:val="es-US"/>
              </w:rPr>
              <w:t>.</w:t>
            </w:r>
          </w:p>
          <w:p w14:paraId="40A9E3B9" w14:textId="77777777" w:rsidR="00A40C68" w:rsidRPr="00846570" w:rsidRDefault="00A40C68" w:rsidP="00A40C68">
            <w:pPr>
              <w:pStyle w:val="ListParagraph"/>
              <w:ind w:left="0"/>
              <w:rPr>
                <w:rFonts w:cstheme="minorHAnsi"/>
                <w:lang w:val="es-ES"/>
              </w:rPr>
            </w:pPr>
          </w:p>
          <w:p w14:paraId="509207CC" w14:textId="69104FA6" w:rsidR="00A40C68" w:rsidRPr="00846570" w:rsidRDefault="00A40C68" w:rsidP="00A40C68">
            <w:pPr>
              <w:pStyle w:val="ListParagraph"/>
              <w:ind w:left="0"/>
              <w:rPr>
                <w:rFonts w:cstheme="minorHAnsi"/>
                <w:lang w:val="es-ES"/>
              </w:rPr>
            </w:pPr>
            <w:r>
              <w:rPr>
                <w:rFonts w:cstheme="minorHAnsi"/>
                <w:lang w:val="es-US"/>
              </w:rPr>
              <w:t>El proveedor debe presentar información sobre cómo utilizó el primer pago antes de que la TWC libere el segundo pago.</w:t>
            </w:r>
          </w:p>
        </w:tc>
        <w:tc>
          <w:tcPr>
            <w:tcW w:w="1676" w:type="dxa"/>
          </w:tcPr>
          <w:p w14:paraId="0D4203EA" w14:textId="77B53287" w:rsidR="00A40C68" w:rsidRPr="00846570" w:rsidRDefault="00A40C68" w:rsidP="00A40C68">
            <w:pPr>
              <w:pStyle w:val="ListParagraph"/>
              <w:ind w:left="0"/>
              <w:rPr>
                <w:rFonts w:cstheme="minorHAnsi"/>
                <w:lang w:val="es-ES"/>
              </w:rPr>
            </w:pPr>
            <w:r>
              <w:rPr>
                <w:rFonts w:cstheme="minorHAnsi"/>
                <w:lang w:val="es-US"/>
              </w:rPr>
              <w:t>Se emite 6</w:t>
            </w:r>
            <w:r w:rsidR="005214A4">
              <w:rPr>
                <w:rFonts w:cstheme="minorHAnsi"/>
                <w:lang w:val="es-US"/>
              </w:rPr>
              <w:t> </w:t>
            </w:r>
            <w:r>
              <w:rPr>
                <w:rFonts w:cstheme="minorHAnsi"/>
                <w:lang w:val="es-US"/>
              </w:rPr>
              <w:t>meses después de la fecha de aprobación de la solicitud</w:t>
            </w:r>
            <w:r w:rsidR="00AC03E9">
              <w:rPr>
                <w:rFonts w:cstheme="minorHAnsi"/>
                <w:lang w:val="es-US"/>
              </w:rPr>
              <w:t>.</w:t>
            </w:r>
          </w:p>
          <w:p w14:paraId="389CE394" w14:textId="77777777" w:rsidR="00A40C68" w:rsidRPr="00846570" w:rsidRDefault="00A40C68" w:rsidP="00A40C68">
            <w:pPr>
              <w:pStyle w:val="ListParagraph"/>
              <w:ind w:left="0"/>
              <w:rPr>
                <w:rFonts w:cstheme="minorHAnsi"/>
                <w:lang w:val="es-ES"/>
              </w:rPr>
            </w:pPr>
          </w:p>
          <w:p w14:paraId="75D367C0" w14:textId="0AEB7176" w:rsidR="00A40C68" w:rsidRPr="00846570" w:rsidRDefault="00A40C68" w:rsidP="00A40C68">
            <w:pPr>
              <w:pStyle w:val="ListParagraph"/>
              <w:ind w:left="0"/>
              <w:rPr>
                <w:rFonts w:cstheme="minorHAnsi"/>
                <w:lang w:val="es-ES"/>
              </w:rPr>
            </w:pPr>
            <w:r>
              <w:rPr>
                <w:rFonts w:cstheme="minorHAnsi"/>
                <w:lang w:val="es-US"/>
              </w:rPr>
              <w:t>El proveedor debe presentar información sobre cómo utilizó el primer y segundo pago   antes de que la TWC libere el tercer pago.</w:t>
            </w:r>
          </w:p>
        </w:tc>
        <w:tc>
          <w:tcPr>
            <w:tcW w:w="1553" w:type="dxa"/>
          </w:tcPr>
          <w:p w14:paraId="4A40196D" w14:textId="7D604A1E" w:rsidR="00A40C68" w:rsidRPr="00846570" w:rsidRDefault="00A40C68" w:rsidP="00A40C68">
            <w:pPr>
              <w:pStyle w:val="ListParagraph"/>
              <w:ind w:left="0"/>
              <w:rPr>
                <w:rFonts w:cstheme="minorHAnsi"/>
                <w:lang w:val="es-ES"/>
              </w:rPr>
            </w:pPr>
            <w:r>
              <w:rPr>
                <w:rFonts w:cstheme="minorHAnsi"/>
                <w:lang w:val="es-US"/>
              </w:rPr>
              <w:t>Se emite 9</w:t>
            </w:r>
            <w:r w:rsidR="005214A4">
              <w:rPr>
                <w:rFonts w:cstheme="minorHAnsi"/>
                <w:lang w:val="es-US"/>
              </w:rPr>
              <w:t> </w:t>
            </w:r>
            <w:r>
              <w:rPr>
                <w:rFonts w:cstheme="minorHAnsi"/>
                <w:lang w:val="es-US"/>
              </w:rPr>
              <w:t>meses después de la fecha de aprobación de la solicitud</w:t>
            </w:r>
            <w:r w:rsidR="00AC03E9">
              <w:rPr>
                <w:rFonts w:cstheme="minorHAnsi"/>
                <w:lang w:val="es-US"/>
              </w:rPr>
              <w:t>.</w:t>
            </w:r>
          </w:p>
          <w:p w14:paraId="181C3B00" w14:textId="77777777" w:rsidR="00A40C68" w:rsidRPr="00846570" w:rsidRDefault="00A40C68" w:rsidP="00A40C68">
            <w:pPr>
              <w:pStyle w:val="ListParagraph"/>
              <w:ind w:left="0"/>
              <w:rPr>
                <w:rFonts w:cstheme="minorHAnsi"/>
                <w:lang w:val="es-ES"/>
              </w:rPr>
            </w:pPr>
          </w:p>
          <w:p w14:paraId="0E101EA8" w14:textId="056C73FE" w:rsidR="00A40C68" w:rsidRPr="00846570" w:rsidRDefault="00A40C68" w:rsidP="00A40C68">
            <w:pPr>
              <w:pStyle w:val="ListParagraph"/>
              <w:ind w:left="0"/>
              <w:rPr>
                <w:rFonts w:cstheme="minorHAnsi"/>
                <w:lang w:val="es-ES"/>
              </w:rPr>
            </w:pPr>
            <w:r>
              <w:rPr>
                <w:rFonts w:cstheme="minorHAnsi"/>
                <w:lang w:val="es-US"/>
              </w:rPr>
              <w:t>El proveedor debe presentar información sobre cómo utilizó el primer, segundo y tercer pago de antes de que la TWC libere el cuarto pago.</w:t>
            </w:r>
          </w:p>
        </w:tc>
        <w:tc>
          <w:tcPr>
            <w:tcW w:w="1450" w:type="dxa"/>
          </w:tcPr>
          <w:p w14:paraId="1B74DA97" w14:textId="2EF94863" w:rsidR="00A40C68" w:rsidRPr="00846570" w:rsidRDefault="00A40C68" w:rsidP="00A40C68">
            <w:pPr>
              <w:pStyle w:val="ListParagraph"/>
              <w:ind w:left="0"/>
              <w:rPr>
                <w:rFonts w:cstheme="minorHAnsi"/>
                <w:lang w:val="es-ES"/>
              </w:rPr>
            </w:pPr>
            <w:r>
              <w:rPr>
                <w:rFonts w:cstheme="minorHAnsi"/>
                <w:lang w:val="es-US"/>
              </w:rPr>
              <w:t>Todos los proveedores deben presentar un informe final sobre cómo se gastaron todos los fondos a más tardar el 30 de junio de 2023.</w:t>
            </w:r>
          </w:p>
          <w:p w14:paraId="6CF2983D" w14:textId="77777777" w:rsidR="00A40C68" w:rsidRPr="00846570" w:rsidRDefault="00A40C68" w:rsidP="00A40C68">
            <w:pPr>
              <w:pStyle w:val="ListParagraph"/>
              <w:ind w:left="0"/>
              <w:rPr>
                <w:rFonts w:cstheme="minorHAnsi"/>
                <w:lang w:val="es-ES"/>
              </w:rPr>
            </w:pPr>
          </w:p>
          <w:p w14:paraId="31C73DA5" w14:textId="77777777" w:rsidR="00A40C68" w:rsidRPr="00846570" w:rsidRDefault="00A40C68" w:rsidP="00A40C68">
            <w:pPr>
              <w:pStyle w:val="ListParagraph"/>
              <w:ind w:left="0"/>
              <w:rPr>
                <w:rFonts w:cstheme="minorHAnsi"/>
                <w:lang w:val="es-ES"/>
              </w:rPr>
            </w:pPr>
          </w:p>
          <w:p w14:paraId="4394A28E" w14:textId="77777777" w:rsidR="00A40C68" w:rsidRPr="00846570" w:rsidRDefault="00A40C68" w:rsidP="00A40C68">
            <w:pPr>
              <w:pStyle w:val="ListParagraph"/>
              <w:ind w:left="0"/>
              <w:rPr>
                <w:rFonts w:cstheme="minorHAnsi"/>
                <w:lang w:val="es-ES"/>
              </w:rPr>
            </w:pPr>
          </w:p>
          <w:p w14:paraId="382D0398" w14:textId="77777777" w:rsidR="00A40C68" w:rsidRPr="00846570" w:rsidRDefault="00A40C68" w:rsidP="00A40C68">
            <w:pPr>
              <w:pStyle w:val="ListParagraph"/>
              <w:ind w:left="0"/>
              <w:rPr>
                <w:rFonts w:cstheme="minorHAnsi"/>
                <w:lang w:val="es-ES"/>
              </w:rPr>
            </w:pPr>
          </w:p>
          <w:p w14:paraId="31EFA82D" w14:textId="77777777" w:rsidR="00A40C68" w:rsidRPr="00846570" w:rsidRDefault="00A40C68" w:rsidP="00A40C68">
            <w:pPr>
              <w:pStyle w:val="ListParagraph"/>
              <w:ind w:left="0"/>
              <w:rPr>
                <w:rFonts w:cstheme="minorHAnsi"/>
                <w:lang w:val="es-ES"/>
              </w:rPr>
            </w:pPr>
          </w:p>
        </w:tc>
      </w:tr>
      <w:tr w:rsidR="00A40C68" w:rsidRPr="00BE6E69" w14:paraId="7E53C736" w14:textId="77777777" w:rsidTr="005214A4">
        <w:tc>
          <w:tcPr>
            <w:tcW w:w="1608" w:type="dxa"/>
          </w:tcPr>
          <w:p w14:paraId="51D072D4" w14:textId="77777777" w:rsidR="00A40C68" w:rsidRPr="00E4365E" w:rsidRDefault="00A40C68" w:rsidP="00A40C68">
            <w:pPr>
              <w:pStyle w:val="ListParagraph"/>
              <w:ind w:left="0"/>
              <w:rPr>
                <w:rFonts w:cstheme="minorHAnsi"/>
                <w:b/>
                <w:bCs/>
              </w:rPr>
            </w:pPr>
            <w:r>
              <w:rPr>
                <w:rFonts w:cstheme="minorHAnsi"/>
                <w:b/>
                <w:bCs/>
                <w:lang w:val="es-US"/>
              </w:rPr>
              <w:t>Ejemplo 1</w:t>
            </w:r>
          </w:p>
        </w:tc>
        <w:tc>
          <w:tcPr>
            <w:tcW w:w="1529" w:type="dxa"/>
          </w:tcPr>
          <w:p w14:paraId="44D220E8" w14:textId="558B54F7" w:rsidR="00A40C68" w:rsidRDefault="00A40C68" w:rsidP="00A40C68">
            <w:pPr>
              <w:pStyle w:val="ListParagraph"/>
              <w:ind w:left="0"/>
              <w:rPr>
                <w:rFonts w:cstheme="minorHAnsi"/>
              </w:rPr>
            </w:pPr>
            <w:r>
              <w:rPr>
                <w:rFonts w:cstheme="minorHAnsi"/>
                <w:lang w:val="es-US"/>
              </w:rPr>
              <w:t>1</w:t>
            </w:r>
            <w:r w:rsidR="00AC03E9">
              <w:rPr>
                <w:rFonts w:cstheme="minorHAnsi"/>
                <w:lang w:val="es-US"/>
              </w:rPr>
              <w:t>0</w:t>
            </w:r>
            <w:r>
              <w:rPr>
                <w:rFonts w:cstheme="minorHAnsi"/>
                <w:lang w:val="es-US"/>
              </w:rPr>
              <w:t xml:space="preserve"> de marzo de 2022</w:t>
            </w:r>
          </w:p>
        </w:tc>
        <w:tc>
          <w:tcPr>
            <w:tcW w:w="1392" w:type="dxa"/>
          </w:tcPr>
          <w:p w14:paraId="4C4541B7" w14:textId="77777777" w:rsidR="00A40C68" w:rsidRPr="00846570" w:rsidRDefault="00A40C68" w:rsidP="00A40C68">
            <w:pPr>
              <w:pStyle w:val="ListParagraph"/>
              <w:ind w:left="0"/>
              <w:rPr>
                <w:rFonts w:cstheme="minorHAnsi"/>
                <w:lang w:val="es-ES"/>
              </w:rPr>
            </w:pPr>
            <w:r>
              <w:rPr>
                <w:rFonts w:cstheme="minorHAnsi"/>
                <w:lang w:val="es-US"/>
              </w:rPr>
              <w:t>Se emite en un plazo de 7 días</w:t>
            </w:r>
          </w:p>
        </w:tc>
        <w:tc>
          <w:tcPr>
            <w:tcW w:w="1587" w:type="dxa"/>
          </w:tcPr>
          <w:p w14:paraId="17F6F6BB" w14:textId="5D475B33" w:rsidR="00A40C68" w:rsidRPr="00846570" w:rsidRDefault="00A40C68" w:rsidP="00A40C68">
            <w:pPr>
              <w:pStyle w:val="ListParagraph"/>
              <w:ind w:left="0"/>
              <w:rPr>
                <w:rFonts w:cstheme="minorHAnsi"/>
                <w:lang w:val="es-ES"/>
              </w:rPr>
            </w:pPr>
            <w:r>
              <w:rPr>
                <w:rFonts w:cstheme="minorHAnsi"/>
                <w:lang w:val="es-US"/>
              </w:rPr>
              <w:t>Se emite el 1</w:t>
            </w:r>
            <w:r w:rsidR="00AC03E9">
              <w:rPr>
                <w:rFonts w:cstheme="minorHAnsi"/>
                <w:lang w:val="es-US"/>
              </w:rPr>
              <w:t>0</w:t>
            </w:r>
            <w:r>
              <w:rPr>
                <w:rFonts w:cstheme="minorHAnsi"/>
                <w:lang w:val="es-US"/>
              </w:rPr>
              <w:t xml:space="preserve"> de junio de 2022</w:t>
            </w:r>
          </w:p>
        </w:tc>
        <w:tc>
          <w:tcPr>
            <w:tcW w:w="1676" w:type="dxa"/>
          </w:tcPr>
          <w:p w14:paraId="786410F6" w14:textId="15829AB5" w:rsidR="00A40C68" w:rsidRPr="00846570" w:rsidRDefault="00A40C68" w:rsidP="00A40C68">
            <w:pPr>
              <w:pStyle w:val="ListParagraph"/>
              <w:ind w:left="0"/>
              <w:rPr>
                <w:rFonts w:cstheme="minorHAnsi"/>
                <w:lang w:val="es-ES"/>
              </w:rPr>
            </w:pPr>
            <w:r>
              <w:rPr>
                <w:rFonts w:cstheme="minorHAnsi"/>
                <w:lang w:val="es-US"/>
              </w:rPr>
              <w:t>Se emite el 1</w:t>
            </w:r>
            <w:r w:rsidR="00AC03E9">
              <w:rPr>
                <w:rFonts w:cstheme="minorHAnsi"/>
                <w:lang w:val="es-US"/>
              </w:rPr>
              <w:t>0</w:t>
            </w:r>
            <w:r>
              <w:rPr>
                <w:rFonts w:cstheme="minorHAnsi"/>
                <w:lang w:val="es-US"/>
              </w:rPr>
              <w:t xml:space="preserve"> de septiembre de 2022</w:t>
            </w:r>
          </w:p>
        </w:tc>
        <w:tc>
          <w:tcPr>
            <w:tcW w:w="1553" w:type="dxa"/>
          </w:tcPr>
          <w:p w14:paraId="31EBB3F1" w14:textId="4E75C9CD" w:rsidR="00A40C68" w:rsidRPr="00846570" w:rsidRDefault="00A40C68" w:rsidP="00A40C68">
            <w:pPr>
              <w:pStyle w:val="ListParagraph"/>
              <w:ind w:left="0"/>
              <w:rPr>
                <w:rFonts w:cstheme="minorHAnsi"/>
                <w:lang w:val="es-ES"/>
              </w:rPr>
            </w:pPr>
            <w:r>
              <w:rPr>
                <w:rFonts w:cstheme="minorHAnsi"/>
                <w:lang w:val="es-US"/>
              </w:rPr>
              <w:t>Se emite el 1</w:t>
            </w:r>
            <w:r w:rsidR="00AC03E9">
              <w:rPr>
                <w:rFonts w:cstheme="minorHAnsi"/>
                <w:lang w:val="es-US"/>
              </w:rPr>
              <w:t>0</w:t>
            </w:r>
            <w:r>
              <w:rPr>
                <w:rFonts w:cstheme="minorHAnsi"/>
                <w:lang w:val="es-US"/>
              </w:rPr>
              <w:t xml:space="preserve"> de diciembre de 2022</w:t>
            </w:r>
          </w:p>
        </w:tc>
        <w:tc>
          <w:tcPr>
            <w:tcW w:w="1450" w:type="dxa"/>
          </w:tcPr>
          <w:p w14:paraId="3A62E0B8" w14:textId="77777777" w:rsidR="00A40C68" w:rsidRPr="00846570" w:rsidRDefault="00A40C68" w:rsidP="00A40C68">
            <w:pPr>
              <w:pStyle w:val="ListParagraph"/>
              <w:ind w:left="0"/>
              <w:rPr>
                <w:rFonts w:cstheme="minorHAnsi"/>
                <w:lang w:val="es-ES"/>
              </w:rPr>
            </w:pPr>
          </w:p>
        </w:tc>
      </w:tr>
      <w:tr w:rsidR="00A40C68" w:rsidRPr="00BE6E69" w14:paraId="4046A24D" w14:textId="77777777" w:rsidTr="005214A4">
        <w:tc>
          <w:tcPr>
            <w:tcW w:w="1608" w:type="dxa"/>
          </w:tcPr>
          <w:p w14:paraId="6F0E50AF" w14:textId="77777777" w:rsidR="00A40C68" w:rsidRPr="00E4365E" w:rsidRDefault="00A40C68" w:rsidP="00A40C68">
            <w:pPr>
              <w:pStyle w:val="ListParagraph"/>
              <w:ind w:left="0"/>
              <w:rPr>
                <w:rFonts w:cstheme="minorHAnsi"/>
                <w:b/>
                <w:bCs/>
              </w:rPr>
            </w:pPr>
            <w:r>
              <w:rPr>
                <w:rFonts w:cstheme="minorHAnsi"/>
                <w:b/>
                <w:bCs/>
                <w:lang w:val="es-US"/>
              </w:rPr>
              <w:t>Ejemplo 2</w:t>
            </w:r>
          </w:p>
        </w:tc>
        <w:tc>
          <w:tcPr>
            <w:tcW w:w="1529" w:type="dxa"/>
          </w:tcPr>
          <w:p w14:paraId="133A4356" w14:textId="77777777" w:rsidR="00A40C68" w:rsidRDefault="00A40C68" w:rsidP="00A40C68">
            <w:pPr>
              <w:pStyle w:val="ListParagraph"/>
              <w:ind w:left="0"/>
              <w:rPr>
                <w:rFonts w:cstheme="minorHAnsi"/>
              </w:rPr>
            </w:pPr>
            <w:r>
              <w:rPr>
                <w:rFonts w:cstheme="minorHAnsi"/>
                <w:lang w:val="es-US"/>
              </w:rPr>
              <w:t>1 de mayo de 2022</w:t>
            </w:r>
          </w:p>
        </w:tc>
        <w:tc>
          <w:tcPr>
            <w:tcW w:w="1392" w:type="dxa"/>
          </w:tcPr>
          <w:p w14:paraId="3D35F42A" w14:textId="77777777" w:rsidR="00A40C68" w:rsidRPr="00846570" w:rsidRDefault="00A40C68" w:rsidP="00A40C68">
            <w:pPr>
              <w:pStyle w:val="ListParagraph"/>
              <w:ind w:left="0"/>
              <w:rPr>
                <w:rFonts w:cstheme="minorHAnsi"/>
                <w:lang w:val="es-ES"/>
              </w:rPr>
            </w:pPr>
            <w:r>
              <w:rPr>
                <w:rFonts w:cstheme="minorHAnsi"/>
                <w:lang w:val="es-US"/>
              </w:rPr>
              <w:t>Se emite en un plazo de 7 días</w:t>
            </w:r>
          </w:p>
        </w:tc>
        <w:tc>
          <w:tcPr>
            <w:tcW w:w="1587" w:type="dxa"/>
          </w:tcPr>
          <w:p w14:paraId="59E4B264" w14:textId="77777777" w:rsidR="00A40C68" w:rsidRPr="00846570" w:rsidRDefault="00A40C68" w:rsidP="00A40C68">
            <w:pPr>
              <w:pStyle w:val="ListParagraph"/>
              <w:ind w:left="0"/>
              <w:rPr>
                <w:rFonts w:cstheme="minorHAnsi"/>
                <w:lang w:val="es-ES"/>
              </w:rPr>
            </w:pPr>
            <w:r>
              <w:rPr>
                <w:rFonts w:cstheme="minorHAnsi"/>
                <w:lang w:val="es-US"/>
              </w:rPr>
              <w:t>Se emite el 1 de agosto de 2022</w:t>
            </w:r>
          </w:p>
        </w:tc>
        <w:tc>
          <w:tcPr>
            <w:tcW w:w="1676" w:type="dxa"/>
          </w:tcPr>
          <w:p w14:paraId="359C9CF1" w14:textId="77777777" w:rsidR="00A40C68" w:rsidRPr="00846570" w:rsidRDefault="00A40C68" w:rsidP="00A40C68">
            <w:pPr>
              <w:pStyle w:val="ListParagraph"/>
              <w:ind w:left="0"/>
              <w:rPr>
                <w:rFonts w:cstheme="minorHAnsi"/>
                <w:lang w:val="es-ES"/>
              </w:rPr>
            </w:pPr>
            <w:r>
              <w:rPr>
                <w:rFonts w:cstheme="minorHAnsi"/>
                <w:lang w:val="es-US"/>
              </w:rPr>
              <w:t>Se emite el 1 de noviembre de 2022</w:t>
            </w:r>
          </w:p>
        </w:tc>
        <w:tc>
          <w:tcPr>
            <w:tcW w:w="1553" w:type="dxa"/>
          </w:tcPr>
          <w:p w14:paraId="543D91A2" w14:textId="77777777" w:rsidR="00A40C68" w:rsidRPr="00846570" w:rsidRDefault="00A40C68" w:rsidP="00A40C68">
            <w:pPr>
              <w:pStyle w:val="ListParagraph"/>
              <w:ind w:left="0"/>
              <w:rPr>
                <w:rFonts w:cstheme="minorHAnsi"/>
                <w:lang w:val="es-ES"/>
              </w:rPr>
            </w:pPr>
            <w:r>
              <w:rPr>
                <w:rFonts w:cstheme="minorHAnsi"/>
                <w:lang w:val="es-US"/>
              </w:rPr>
              <w:t>Se emite el 1 de febrero de 2023</w:t>
            </w:r>
          </w:p>
        </w:tc>
        <w:tc>
          <w:tcPr>
            <w:tcW w:w="1450" w:type="dxa"/>
          </w:tcPr>
          <w:p w14:paraId="5908C3A6" w14:textId="77777777" w:rsidR="00A40C68" w:rsidRPr="00846570" w:rsidRDefault="00A40C68" w:rsidP="00A40C68">
            <w:pPr>
              <w:pStyle w:val="ListParagraph"/>
              <w:ind w:left="0"/>
              <w:rPr>
                <w:rFonts w:cstheme="minorHAnsi"/>
                <w:lang w:val="es-ES"/>
              </w:rPr>
            </w:pPr>
          </w:p>
        </w:tc>
      </w:tr>
    </w:tbl>
    <w:p w14:paraId="40F1E100" w14:textId="60041E8C" w:rsidR="00BE5859" w:rsidRPr="00846570" w:rsidRDefault="00BE5859" w:rsidP="009B4261">
      <w:pPr>
        <w:pStyle w:val="ListParagraph"/>
        <w:rPr>
          <w:rFonts w:cstheme="minorHAnsi"/>
          <w:lang w:val="es-ES"/>
        </w:rPr>
      </w:pPr>
    </w:p>
    <w:p w14:paraId="11743D1B" w14:textId="77777777" w:rsidR="007D0DB2" w:rsidRDefault="007D0DB2" w:rsidP="00B11023">
      <w:pPr>
        <w:pStyle w:val="ListParagraph"/>
        <w:keepLines/>
        <w:rPr>
          <w:rFonts w:cstheme="minorHAnsi"/>
          <w:lang w:val="es-US"/>
        </w:rPr>
      </w:pPr>
    </w:p>
    <w:p w14:paraId="2D2D4F8A" w14:textId="02A51070" w:rsidR="005E0E0B" w:rsidRPr="00846570" w:rsidRDefault="005E0E0B" w:rsidP="00B11023">
      <w:pPr>
        <w:pStyle w:val="ListParagraph"/>
        <w:keepLines/>
        <w:rPr>
          <w:rFonts w:cstheme="minorHAnsi"/>
          <w:lang w:val="es-ES"/>
        </w:rPr>
      </w:pPr>
      <w:r>
        <w:rPr>
          <w:rFonts w:cstheme="minorHAnsi"/>
          <w:lang w:val="es-US"/>
        </w:rPr>
        <w:t xml:space="preserve">Tenga en cuenta que este plazo supone que el proveedor completa con precisión la información requerida </w:t>
      </w:r>
      <w:r>
        <w:rPr>
          <w:rFonts w:cstheme="minorHAnsi"/>
          <w:b/>
          <w:bCs/>
          <w:lang w:val="es-US"/>
        </w:rPr>
        <w:t>antes</w:t>
      </w:r>
      <w:r>
        <w:rPr>
          <w:rFonts w:cstheme="minorHAnsi"/>
          <w:lang w:val="es-US"/>
        </w:rPr>
        <w:t xml:space="preserve"> de las fechas de pago trimestrales y que el proveedor sigue cumpliendo todos los criterios de elegibilidad. Tenga en cuenta también que, aunque los pagos se emitirán de acuerdo con este calendario, el cheque puede tardar más tiempo en llegar al proveedor.</w:t>
      </w:r>
    </w:p>
    <w:p w14:paraId="06D4058F" w14:textId="3358F2ED" w:rsidR="009B4261" w:rsidRDefault="009B4261" w:rsidP="009B4261">
      <w:pPr>
        <w:pStyle w:val="ListParagraph"/>
        <w:rPr>
          <w:rFonts w:cstheme="minorHAnsi"/>
          <w:lang w:val="es-ES"/>
        </w:rPr>
      </w:pPr>
    </w:p>
    <w:p w14:paraId="766C4ED4" w14:textId="341907F6" w:rsidR="007D0DB2" w:rsidRDefault="007D0DB2" w:rsidP="009B4261">
      <w:pPr>
        <w:pStyle w:val="ListParagraph"/>
        <w:rPr>
          <w:rFonts w:cstheme="minorHAnsi"/>
          <w:lang w:val="es-ES"/>
        </w:rPr>
      </w:pPr>
    </w:p>
    <w:p w14:paraId="3F534667" w14:textId="77777777" w:rsidR="007D0DB2" w:rsidRPr="00846570" w:rsidRDefault="007D0DB2" w:rsidP="009B4261">
      <w:pPr>
        <w:pStyle w:val="ListParagraph"/>
        <w:rPr>
          <w:rFonts w:cstheme="minorHAnsi"/>
          <w:lang w:val="es-ES"/>
        </w:rPr>
      </w:pPr>
    </w:p>
    <w:p w14:paraId="0479C59D" w14:textId="45DC399C" w:rsidR="00CB08BE" w:rsidRPr="00846570" w:rsidRDefault="00CB08BE" w:rsidP="009B4261">
      <w:pPr>
        <w:pStyle w:val="ListParagraph"/>
        <w:numPr>
          <w:ilvl w:val="0"/>
          <w:numId w:val="4"/>
        </w:numPr>
        <w:rPr>
          <w:rFonts w:cstheme="minorHAnsi"/>
          <w:lang w:val="es-ES"/>
        </w:rPr>
      </w:pPr>
      <w:r>
        <w:rPr>
          <w:rFonts w:cstheme="minorHAnsi"/>
          <w:b/>
          <w:bCs/>
          <w:lang w:val="es-US"/>
        </w:rPr>
        <w:t>¿Puedo utilizar el depósito directo para recibir mis fondos?</w:t>
      </w:r>
    </w:p>
    <w:p w14:paraId="4E9ECC8F" w14:textId="6405983E" w:rsidR="00CB08BE" w:rsidRDefault="00CB08BE" w:rsidP="00CB08BE">
      <w:pPr>
        <w:pStyle w:val="ListParagraph"/>
        <w:rPr>
          <w:rFonts w:cstheme="minorHAnsi"/>
          <w:lang w:val="es-US"/>
        </w:rPr>
      </w:pPr>
      <w:r>
        <w:rPr>
          <w:rFonts w:cstheme="minorHAnsi"/>
          <w:lang w:val="es-US"/>
        </w:rPr>
        <w:t xml:space="preserve">El depósito directo no está disponible para el Fondo de Alivio para el Cuidado Infantil. Los fondos se emitirán en forma de cheque en papel que se enviará a la dirección postal indicada en la solicitud. Por lo tanto, </w:t>
      </w:r>
      <w:r>
        <w:rPr>
          <w:rFonts w:cstheme="minorHAnsi"/>
          <w:b/>
          <w:bCs/>
          <w:lang w:val="es-US"/>
        </w:rPr>
        <w:t>es fundamental asegurarse que la dirección postal que figura en la solicitud es la correcta</w:t>
      </w:r>
      <w:r>
        <w:rPr>
          <w:rFonts w:cstheme="minorHAnsi"/>
          <w:lang w:val="es-US"/>
        </w:rPr>
        <w:t>.</w:t>
      </w:r>
    </w:p>
    <w:p w14:paraId="45AE7FE1" w14:textId="77777777" w:rsidR="00BF1BFF" w:rsidRPr="00846570" w:rsidRDefault="00BF1BFF" w:rsidP="00CB08BE">
      <w:pPr>
        <w:pStyle w:val="ListParagraph"/>
        <w:rPr>
          <w:rFonts w:cstheme="minorHAnsi"/>
          <w:lang w:val="es-ES"/>
        </w:rPr>
      </w:pPr>
    </w:p>
    <w:p w14:paraId="3A58D833" w14:textId="1519F174" w:rsidR="00CB08BE" w:rsidRPr="00846570" w:rsidRDefault="00CB08BE" w:rsidP="002C6567">
      <w:pPr>
        <w:pStyle w:val="ListParagraph"/>
        <w:numPr>
          <w:ilvl w:val="0"/>
          <w:numId w:val="4"/>
        </w:numPr>
        <w:rPr>
          <w:rFonts w:cstheme="minorHAnsi"/>
          <w:b/>
          <w:bCs/>
          <w:lang w:val="es-ES"/>
        </w:rPr>
      </w:pPr>
      <w:r>
        <w:rPr>
          <w:rFonts w:cstheme="minorHAnsi"/>
          <w:b/>
          <w:bCs/>
          <w:lang w:val="es-US"/>
        </w:rPr>
        <w:t>¿Qué pasa si no necesito la cantidad total de la adjudicación del CCRF?</w:t>
      </w:r>
    </w:p>
    <w:p w14:paraId="7D6AEFFE" w14:textId="3C68EE43" w:rsidR="00CB08BE" w:rsidRPr="00846570" w:rsidRDefault="00D33062" w:rsidP="00CB08BE">
      <w:pPr>
        <w:pStyle w:val="ListParagraph"/>
        <w:rPr>
          <w:lang w:val="es-ES"/>
        </w:rPr>
      </w:pPr>
      <w:r>
        <w:rPr>
          <w:lang w:val="es-US"/>
        </w:rPr>
        <w:t>Los proveedores tendrán hasta el 3</w:t>
      </w:r>
      <w:r w:rsidR="00F77353">
        <w:rPr>
          <w:lang w:val="es-US"/>
        </w:rPr>
        <w:t>0</w:t>
      </w:r>
      <w:r>
        <w:rPr>
          <w:lang w:val="es-US"/>
        </w:rPr>
        <w:t xml:space="preserve"> de </w:t>
      </w:r>
      <w:proofErr w:type="gramStart"/>
      <w:r w:rsidR="00F77353">
        <w:rPr>
          <w:lang w:val="es-US"/>
        </w:rPr>
        <w:t xml:space="preserve">noviembre </w:t>
      </w:r>
      <w:r>
        <w:rPr>
          <w:lang w:val="es-US"/>
        </w:rPr>
        <w:t xml:space="preserve"> de</w:t>
      </w:r>
      <w:proofErr w:type="gramEnd"/>
      <w:r>
        <w:rPr>
          <w:lang w:val="es-US"/>
        </w:rPr>
        <w:t xml:space="preserve"> 2023 para gastar toda la financiación.</w:t>
      </w:r>
      <w:r w:rsidR="000D7078">
        <w:rPr>
          <w:lang w:val="es-US"/>
        </w:rPr>
        <w:t xml:space="preserve"> </w:t>
      </w:r>
      <w:r>
        <w:rPr>
          <w:lang w:val="es-US"/>
        </w:rPr>
        <w:t xml:space="preserve">Si un programa desea devolver los fondos no utilizados que ya ha recibido, envíe un correo electrónico a </w:t>
      </w:r>
      <w:hyperlink r:id="rId32" w:history="1">
        <w:r>
          <w:rPr>
            <w:rStyle w:val="Hyperlink"/>
            <w:lang w:val="es-US"/>
          </w:rPr>
          <w:t>CCReliefFunds@trelliscompany.org</w:t>
        </w:r>
      </w:hyperlink>
      <w:r w:rsidR="00CD214E" w:rsidRPr="00CD214E">
        <w:rPr>
          <w:rStyle w:val="Hyperlink"/>
          <w:lang w:val="es-US"/>
        </w:rPr>
        <w:t xml:space="preserve"> o llamar</w:t>
      </w:r>
      <w:r w:rsidR="00CD214E">
        <w:rPr>
          <w:rStyle w:val="Hyperlink"/>
          <w:lang w:val="es-US"/>
        </w:rPr>
        <w:t xml:space="preserve"> 1-833-613-3192</w:t>
      </w:r>
      <w:r>
        <w:rPr>
          <w:lang w:val="es-US"/>
        </w:rPr>
        <w:t>.</w:t>
      </w:r>
    </w:p>
    <w:p w14:paraId="746F544F" w14:textId="77777777" w:rsidR="00A70819" w:rsidRPr="00846570" w:rsidRDefault="00A70819" w:rsidP="00CB08BE">
      <w:pPr>
        <w:pStyle w:val="ListParagraph"/>
        <w:rPr>
          <w:lang w:val="es-ES"/>
        </w:rPr>
      </w:pPr>
    </w:p>
    <w:p w14:paraId="2B4F087D" w14:textId="5AE711DD" w:rsidR="00A70819" w:rsidRDefault="00A70819" w:rsidP="00A70819">
      <w:pPr>
        <w:pStyle w:val="ListParagraph"/>
        <w:numPr>
          <w:ilvl w:val="0"/>
          <w:numId w:val="4"/>
        </w:numPr>
        <w:rPr>
          <w:rFonts w:cstheme="minorHAnsi"/>
        </w:rPr>
      </w:pPr>
      <w:r>
        <w:rPr>
          <w:rFonts w:cstheme="minorHAnsi"/>
          <w:b/>
          <w:bCs/>
          <w:lang w:val="es-US"/>
        </w:rPr>
        <w:t xml:space="preserve">Me aprobaron la </w:t>
      </w:r>
      <w:proofErr w:type="gramStart"/>
      <w:r>
        <w:rPr>
          <w:rFonts w:cstheme="minorHAnsi"/>
          <w:b/>
          <w:bCs/>
          <w:lang w:val="es-US"/>
        </w:rPr>
        <w:t>solicitud</w:t>
      </w:r>
      <w:proofErr w:type="gramEnd"/>
      <w:r>
        <w:rPr>
          <w:rFonts w:cstheme="minorHAnsi"/>
          <w:b/>
          <w:bCs/>
          <w:lang w:val="es-US"/>
        </w:rPr>
        <w:t xml:space="preserve"> pero no he recibido el pago. ¿Qué debo hacer?</w:t>
      </w:r>
    </w:p>
    <w:p w14:paraId="79FC0B75" w14:textId="18097826" w:rsidR="00A70819" w:rsidRPr="00846570" w:rsidRDefault="006558BC" w:rsidP="00A70819">
      <w:pPr>
        <w:pStyle w:val="ListParagraph"/>
        <w:rPr>
          <w:rFonts w:cstheme="minorHAnsi"/>
          <w:lang w:val="es-ES"/>
        </w:rPr>
      </w:pPr>
      <w:r>
        <w:rPr>
          <w:lang w:val="es-US"/>
        </w:rPr>
        <w:t>Vuelva a comprobar el calendario que se describe en la respuesta a la pregunta 3. Tenga también en cuenta que, aunque los pagos se emitirán de acuerdo con este calendario, el</w:t>
      </w:r>
      <w:r w:rsidR="00BF1BFF">
        <w:rPr>
          <w:lang w:val="es-US"/>
        </w:rPr>
        <w:t> </w:t>
      </w:r>
      <w:r>
        <w:rPr>
          <w:lang w:val="es-US"/>
        </w:rPr>
        <w:t xml:space="preserve">cheque puede tardar más tiempo en llegar. También debe asegurarse de haber completado con precisión toda la información requerida </w:t>
      </w:r>
      <w:r>
        <w:rPr>
          <w:b/>
          <w:bCs/>
          <w:lang w:val="es-US"/>
        </w:rPr>
        <w:t>antes</w:t>
      </w:r>
      <w:r>
        <w:rPr>
          <w:lang w:val="es-US"/>
        </w:rPr>
        <w:t xml:space="preserve"> de las fechas de pago trimestrales y de seguir cumpliendo con todos los criterios de elegibilidad. Si todavía cree que puede faltar un pago </w:t>
      </w:r>
      <w:r w:rsidR="00AA3ADF">
        <w:rPr>
          <w:lang w:val="es-US"/>
        </w:rPr>
        <w:t>14</w:t>
      </w:r>
      <w:r>
        <w:rPr>
          <w:lang w:val="es-US"/>
        </w:rPr>
        <w:t xml:space="preserve"> días después de la fecha de emisión del cheque, envíe un correo electrónico a </w:t>
      </w:r>
      <w:hyperlink r:id="rId33" w:history="1">
        <w:r>
          <w:rPr>
            <w:rStyle w:val="Hyperlink"/>
            <w:lang w:val="es-US"/>
          </w:rPr>
          <w:t>CCReliefFunds@trelliscompany.org</w:t>
        </w:r>
      </w:hyperlink>
      <w:r w:rsidR="00CD214E" w:rsidRPr="00CD214E">
        <w:rPr>
          <w:rStyle w:val="Hyperlink"/>
          <w:lang w:val="es-US"/>
        </w:rPr>
        <w:t xml:space="preserve"> o llamar</w:t>
      </w:r>
      <w:r w:rsidR="00CD214E">
        <w:rPr>
          <w:rStyle w:val="Hyperlink"/>
          <w:lang w:val="es-US"/>
        </w:rPr>
        <w:t xml:space="preserve"> 1-833-613-3192</w:t>
      </w:r>
      <w:r>
        <w:rPr>
          <w:lang w:val="es-US"/>
        </w:rPr>
        <w:t>.</w:t>
      </w:r>
    </w:p>
    <w:p w14:paraId="4F743A0C" w14:textId="77777777" w:rsidR="00CB08BE" w:rsidRPr="00846570" w:rsidRDefault="00CB08BE" w:rsidP="00CB08BE">
      <w:pPr>
        <w:rPr>
          <w:rFonts w:cstheme="minorHAnsi"/>
          <w:lang w:val="es-ES"/>
        </w:rPr>
      </w:pPr>
    </w:p>
    <w:p w14:paraId="38E3BA13" w14:textId="1A6D6880" w:rsidR="00CB08BE" w:rsidRPr="00536EE3" w:rsidRDefault="00CB08BE" w:rsidP="00C150CA">
      <w:pPr>
        <w:pStyle w:val="Heading1"/>
      </w:pPr>
      <w:r>
        <w:rPr>
          <w:lang w:val="es-US"/>
        </w:rPr>
        <w:t>Utilización de fondos</w:t>
      </w:r>
    </w:p>
    <w:p w14:paraId="13662AF8" w14:textId="77777777" w:rsidR="00CB08BE" w:rsidRPr="00846570" w:rsidRDefault="00CB08BE" w:rsidP="009B4261">
      <w:pPr>
        <w:pStyle w:val="ListParagraph"/>
        <w:numPr>
          <w:ilvl w:val="0"/>
          <w:numId w:val="7"/>
        </w:numPr>
        <w:rPr>
          <w:rFonts w:cstheme="minorHAnsi"/>
          <w:b/>
          <w:bCs/>
          <w:lang w:val="es-ES"/>
        </w:rPr>
      </w:pPr>
      <w:r>
        <w:rPr>
          <w:rFonts w:cstheme="minorHAnsi"/>
          <w:b/>
          <w:bCs/>
          <w:lang w:val="es-US"/>
        </w:rPr>
        <w:t>¿Cuándo deben utilizarse los fondos?</w:t>
      </w:r>
    </w:p>
    <w:p w14:paraId="518B2B2F" w14:textId="4E5E5F04" w:rsidR="00CB08BE" w:rsidRPr="00846570" w:rsidRDefault="006A7195" w:rsidP="00CB08BE">
      <w:pPr>
        <w:pStyle w:val="ListParagraph"/>
        <w:rPr>
          <w:rFonts w:cstheme="minorHAnsi"/>
          <w:lang w:val="es-ES"/>
        </w:rPr>
      </w:pPr>
      <w:r>
        <w:rPr>
          <w:rFonts w:cstheme="minorHAnsi"/>
          <w:lang w:val="es-US"/>
        </w:rPr>
        <w:t>Las solicitudes deben presentarse antes del 31 de mayo de 2022, y los fondos se deben documentar como utilizados al final del plazo del Fondo de Alivio para el Cuidado Infantil, que es el 3</w:t>
      </w:r>
      <w:r w:rsidR="004926CE">
        <w:rPr>
          <w:rFonts w:cstheme="minorHAnsi"/>
          <w:lang w:val="es-US"/>
        </w:rPr>
        <w:t>0-</w:t>
      </w:r>
      <w:r>
        <w:rPr>
          <w:rFonts w:cstheme="minorHAnsi"/>
          <w:lang w:val="es-US"/>
        </w:rPr>
        <w:t xml:space="preserve"> de </w:t>
      </w:r>
      <w:r w:rsidR="004926CE">
        <w:rPr>
          <w:rFonts w:cstheme="minorHAnsi"/>
          <w:lang w:val="es-US"/>
        </w:rPr>
        <w:t>noviembre</w:t>
      </w:r>
      <w:r>
        <w:rPr>
          <w:rFonts w:cstheme="minorHAnsi"/>
          <w:lang w:val="es-US"/>
        </w:rPr>
        <w:t xml:space="preserve"> de 2023.</w:t>
      </w:r>
    </w:p>
    <w:p w14:paraId="630481AA" w14:textId="77777777" w:rsidR="00CB08BE" w:rsidRPr="00846570" w:rsidRDefault="00CB08BE" w:rsidP="00CB08BE">
      <w:pPr>
        <w:rPr>
          <w:rFonts w:cstheme="minorHAnsi"/>
          <w:b/>
          <w:bCs/>
          <w:lang w:val="es-ES"/>
        </w:rPr>
      </w:pPr>
    </w:p>
    <w:p w14:paraId="3EEF3D8F" w14:textId="77777777" w:rsidR="00CB08BE" w:rsidRPr="00846570" w:rsidRDefault="00CB08BE" w:rsidP="009B4261">
      <w:pPr>
        <w:pStyle w:val="ListParagraph"/>
        <w:numPr>
          <w:ilvl w:val="0"/>
          <w:numId w:val="7"/>
        </w:numPr>
        <w:rPr>
          <w:rFonts w:cstheme="minorHAnsi"/>
          <w:b/>
          <w:bCs/>
          <w:lang w:val="es-ES"/>
        </w:rPr>
      </w:pPr>
      <w:r>
        <w:rPr>
          <w:rFonts w:cstheme="minorHAnsi"/>
          <w:b/>
          <w:bCs/>
          <w:lang w:val="es-US"/>
        </w:rPr>
        <w:t>¿Para qué se pueden utilizar los fondos de ayuda para el cuidado infantil?</w:t>
      </w:r>
    </w:p>
    <w:p w14:paraId="7B1978E1" w14:textId="27766CA8" w:rsidR="00CB08BE" w:rsidRPr="00846570" w:rsidRDefault="007D686B" w:rsidP="00CB08BE">
      <w:pPr>
        <w:pStyle w:val="ListParagraph"/>
        <w:rPr>
          <w:rFonts w:cstheme="minorHAnsi"/>
          <w:spacing w:val="-1"/>
          <w:lang w:val="es-ES"/>
        </w:rPr>
      </w:pPr>
      <w:r>
        <w:rPr>
          <w:rFonts w:cstheme="minorHAnsi"/>
          <w:lang w:val="es-US"/>
        </w:rPr>
        <w:t>El Fondo de Alivio para el Cuidado Infantil de 2022 es una oportunidad única disponible para los gastos que sean necesarios al mantener o reanudar el funcionamiento de su programa, incluidos los costos fijos y el aumento de los gastos de funcionamiento. Algunos ejemplos de gastos permitidos son el alquiler o hipoteca, seguros, servicios públicos (como el gas, electricidad, agua, alcantarillado, teléfono e Internet), las nóminas y el personal (como sueldos, salarios y beneficios), el PPE (equipo de protección personal), suministros y servicios de limpieza, mantenimiento</w:t>
      </w:r>
      <w:r w:rsidR="0065586D">
        <w:rPr>
          <w:rFonts w:cstheme="minorHAnsi"/>
          <w:lang w:val="es-US"/>
        </w:rPr>
        <w:t>,</w:t>
      </w:r>
      <w:r>
        <w:rPr>
          <w:rFonts w:cstheme="minorHAnsi"/>
          <w:lang w:val="es-US"/>
        </w:rPr>
        <w:t xml:space="preserve"> y suministros. Los proveedores pueden elegir cómo distribuir sus fondos entre estas categorías, pero deben proporcionar un alivio de matrícula o de los copagos en la medida de lo posible; consulte la respuesta a la pregunta 5 para obtener más información.</w:t>
      </w:r>
    </w:p>
    <w:p w14:paraId="675F9A70" w14:textId="59B4B9FD" w:rsidR="003F3290" w:rsidRPr="00846570" w:rsidRDefault="003F3290" w:rsidP="00CB08BE">
      <w:pPr>
        <w:pStyle w:val="ListParagraph"/>
        <w:rPr>
          <w:rFonts w:cstheme="minorHAnsi"/>
          <w:spacing w:val="-1"/>
          <w:lang w:val="es-ES"/>
        </w:rPr>
      </w:pPr>
    </w:p>
    <w:p w14:paraId="657D082C" w14:textId="121EE847" w:rsidR="00567FFD" w:rsidRPr="00D12386" w:rsidRDefault="001C6645" w:rsidP="00567FFD">
      <w:pPr>
        <w:pStyle w:val="ListParagraph"/>
        <w:rPr>
          <w:rFonts w:cstheme="minorHAnsi"/>
          <w:lang w:val="es-ES"/>
        </w:rPr>
      </w:pPr>
      <w:r>
        <w:rPr>
          <w:rFonts w:cstheme="minorHAnsi"/>
          <w:lang w:val="es-US"/>
        </w:rPr>
        <w:lastRenderedPageBreak/>
        <w:t>El CCRF de 2022 también puede utilizarse para ofrecer complementos salariales y</w:t>
      </w:r>
      <w:r w:rsidR="00D27624">
        <w:rPr>
          <w:rFonts w:cstheme="minorHAnsi"/>
          <w:lang w:val="es-US"/>
        </w:rPr>
        <w:t> </w:t>
      </w:r>
      <w:r>
        <w:rPr>
          <w:rFonts w:cstheme="minorHAnsi"/>
          <w:lang w:val="es-US"/>
        </w:rPr>
        <w:t>bonificaciones puntuales para atraer y retener a personal de alta calidad.</w:t>
      </w:r>
      <w:r w:rsidR="00567FFD" w:rsidRPr="00D12386">
        <w:rPr>
          <w:rFonts w:ascii="Times New Roman" w:eastAsia="Times New Roman" w:hAnsi="Times New Roman" w:cs="Times New Roman"/>
          <w:color w:val="5F6368"/>
          <w:sz w:val="18"/>
          <w:szCs w:val="18"/>
          <w:lang w:val="es-ES"/>
        </w:rPr>
        <w:t xml:space="preserve"> </w:t>
      </w:r>
      <w:r w:rsidR="00567FFD" w:rsidRPr="00567FFD">
        <w:rPr>
          <w:rFonts w:cstheme="minorHAnsi"/>
          <w:lang w:val="es-ES"/>
        </w:rPr>
        <w:t>Para obtener más información sobre cómo apoyar a su personal con su CCRF 2022, consulte nuestro</w:t>
      </w:r>
      <w:r w:rsidR="00567FFD" w:rsidRPr="00D12386">
        <w:rPr>
          <w:rFonts w:cstheme="minorHAnsi"/>
          <w:lang w:val="es-ES"/>
        </w:rPr>
        <w:t xml:space="preserve"> Child Care Workforce Provider Decision Tool en </w:t>
      </w:r>
      <w:hyperlink r:id="rId34" w:history="1">
        <w:r w:rsidR="00567FFD" w:rsidRPr="00D12386">
          <w:rPr>
            <w:rStyle w:val="Hyperlink"/>
            <w:rFonts w:cstheme="minorHAnsi"/>
            <w:lang w:val="es-ES"/>
          </w:rPr>
          <w:t>inglés</w:t>
        </w:r>
      </w:hyperlink>
      <w:r w:rsidR="007D0DB2" w:rsidRPr="00D12386">
        <w:rPr>
          <w:rStyle w:val="Hyperlink"/>
          <w:rFonts w:cstheme="minorHAnsi"/>
          <w:lang w:val="es-ES"/>
        </w:rPr>
        <w:t xml:space="preserve"> o</w:t>
      </w:r>
      <w:r w:rsidR="00567FFD" w:rsidRPr="00D12386">
        <w:rPr>
          <w:rFonts w:cstheme="minorHAnsi"/>
          <w:lang w:val="es-ES"/>
        </w:rPr>
        <w:t xml:space="preserve"> </w:t>
      </w:r>
      <w:hyperlink r:id="rId35" w:history="1">
        <w:r w:rsidR="00567FFD" w:rsidRPr="00D12386">
          <w:rPr>
            <w:rStyle w:val="Hyperlink"/>
            <w:rFonts w:cstheme="minorHAnsi"/>
            <w:lang w:val="es-ES"/>
          </w:rPr>
          <w:t>español</w:t>
        </w:r>
      </w:hyperlink>
      <w:r w:rsidR="00567FFD" w:rsidRPr="00D12386">
        <w:rPr>
          <w:rFonts w:cstheme="minorHAnsi"/>
          <w:lang w:val="es-ES"/>
        </w:rPr>
        <w:t>.</w:t>
      </w:r>
    </w:p>
    <w:p w14:paraId="54123A99" w14:textId="5A5EF00C" w:rsidR="002504CF" w:rsidRPr="00846570" w:rsidRDefault="002504CF" w:rsidP="00CB08BE">
      <w:pPr>
        <w:pStyle w:val="ListParagraph"/>
        <w:rPr>
          <w:rFonts w:cstheme="minorHAnsi"/>
          <w:spacing w:val="-1"/>
          <w:lang w:val="es-ES"/>
        </w:rPr>
      </w:pPr>
    </w:p>
    <w:p w14:paraId="072BEEDB" w14:textId="61B8A1E4" w:rsidR="002504CF" w:rsidRPr="00846570" w:rsidRDefault="002504CF" w:rsidP="00CB08BE">
      <w:pPr>
        <w:pStyle w:val="ListParagraph"/>
        <w:rPr>
          <w:rFonts w:cstheme="minorHAnsi"/>
          <w:spacing w:val="-1"/>
          <w:lang w:val="es-ES"/>
        </w:rPr>
      </w:pPr>
      <w:r>
        <w:rPr>
          <w:rFonts w:cstheme="minorHAnsi"/>
          <w:lang w:val="es-US"/>
        </w:rPr>
        <w:t>Más abajo se detallan las opciones de uso de los fondos en estas categorías.</w:t>
      </w:r>
    </w:p>
    <w:p w14:paraId="032796CD" w14:textId="20D0EA53" w:rsidR="00EA4D83" w:rsidRPr="00846570" w:rsidRDefault="00EA4D83" w:rsidP="00CB08BE">
      <w:pPr>
        <w:pStyle w:val="ListParagraph"/>
        <w:rPr>
          <w:rFonts w:cstheme="minorHAnsi"/>
          <w:spacing w:val="-1"/>
          <w:lang w:val="es-ES"/>
        </w:rPr>
      </w:pPr>
    </w:p>
    <w:p w14:paraId="09BA404F" w14:textId="198BC7DA" w:rsidR="00EA4D83" w:rsidRPr="00846570" w:rsidRDefault="00F90A5F" w:rsidP="00CB08BE">
      <w:pPr>
        <w:pStyle w:val="ListParagraph"/>
        <w:rPr>
          <w:rFonts w:cstheme="minorHAnsi"/>
          <w:spacing w:val="-1"/>
          <w:lang w:val="es-ES"/>
        </w:rPr>
      </w:pPr>
      <w:r>
        <w:rPr>
          <w:u w:val="single"/>
          <w:lang w:val="es-US"/>
        </w:rPr>
        <w:t>Nómina y costos del personal</w:t>
      </w:r>
      <w:r>
        <w:rPr>
          <w:lang w:val="es-US"/>
        </w:rPr>
        <w:t>: Salarios y beneficios para el personal de los programas de</w:t>
      </w:r>
      <w:r w:rsidR="00D27624">
        <w:rPr>
          <w:lang w:val="es-US"/>
        </w:rPr>
        <w:t> </w:t>
      </w:r>
      <w:r>
        <w:rPr>
          <w:lang w:val="es-US"/>
        </w:rPr>
        <w:t xml:space="preserve">cuidado infantil, incluidos los aumentos de remuneración, las bonificaciones o los complementos salariales y la prima o el pago por riesgo; el seguro médico, odontológico y oftalmológico; las becas o el desarrollo profesional; el tiempo libre remunerado y las contribuciones a la jubilación. </w:t>
      </w:r>
    </w:p>
    <w:p w14:paraId="4C7EF102" w14:textId="3CF0C58D" w:rsidR="00EA4D83" w:rsidRPr="00846570" w:rsidRDefault="00EA4D83" w:rsidP="00CB08BE">
      <w:pPr>
        <w:pStyle w:val="ListParagraph"/>
        <w:rPr>
          <w:rFonts w:cstheme="minorHAnsi"/>
          <w:spacing w:val="-1"/>
          <w:lang w:val="es-ES"/>
        </w:rPr>
      </w:pPr>
    </w:p>
    <w:p w14:paraId="7BD7744E" w14:textId="1DFCCC79" w:rsidR="00EA4D83" w:rsidRPr="00846570" w:rsidRDefault="00301C22" w:rsidP="00CB08BE">
      <w:pPr>
        <w:pStyle w:val="ListParagraph"/>
        <w:rPr>
          <w:lang w:val="es-ES"/>
        </w:rPr>
      </w:pPr>
      <w:r>
        <w:rPr>
          <w:u w:val="single"/>
          <w:lang w:val="es-US"/>
        </w:rPr>
        <w:t>Alquiler o hipoteca, seguro y servicios públicos</w:t>
      </w:r>
      <w:r>
        <w:rPr>
          <w:lang w:val="es-US"/>
        </w:rPr>
        <w:t>: El alquiler (incluido el alquiler en virtud de un contrato de arrendamiento) o el pago de cualquier obligación hipotecaria; los servicios públicos, incluidos el gas, electricidad, agua, alcantarillado, teléfono e Internet; o los seguros.</w:t>
      </w:r>
    </w:p>
    <w:p w14:paraId="11BC990E" w14:textId="0B4859C6" w:rsidR="00D63E55" w:rsidRPr="00846570" w:rsidRDefault="00D63E55" w:rsidP="00CB08BE">
      <w:pPr>
        <w:pStyle w:val="ListParagraph"/>
        <w:rPr>
          <w:rFonts w:cstheme="minorHAnsi"/>
          <w:spacing w:val="-1"/>
          <w:lang w:val="es-ES"/>
        </w:rPr>
      </w:pPr>
    </w:p>
    <w:p w14:paraId="71A8B06E" w14:textId="063D0CB6" w:rsidR="00D63E55" w:rsidRPr="00846570" w:rsidRDefault="00D63E55" w:rsidP="00CB08BE">
      <w:pPr>
        <w:pStyle w:val="ListParagraph"/>
        <w:rPr>
          <w:rFonts w:cstheme="minorHAnsi"/>
          <w:spacing w:val="-1"/>
          <w:lang w:val="es-ES"/>
        </w:rPr>
      </w:pPr>
      <w:r>
        <w:rPr>
          <w:rFonts w:cstheme="minorHAnsi"/>
          <w:u w:val="single"/>
          <w:lang w:val="es-US"/>
        </w:rPr>
        <w:t>Mantenimiento de las instalaciones</w:t>
      </w:r>
      <w:r>
        <w:rPr>
          <w:rFonts w:cstheme="minorHAnsi"/>
          <w:lang w:val="es-US"/>
        </w:rPr>
        <w:t xml:space="preserve">: Las renovaciones menores incluyen la mejora de los patios de recreo, la renovación de los baños, la instalación de barandillas o rampas para mejorar la accesibilidad de los niños o las familias con discapacidades, la garantía de cumplimiento de las directrices de seguridad para los edificios apropiados para el desarrollo, y cualquier mantenimiento o reparación menor para abordar las preocupaciones relacionadas con el COVID-19. </w:t>
      </w:r>
    </w:p>
    <w:p w14:paraId="1955A471" w14:textId="059248D0" w:rsidR="003B0223" w:rsidRPr="00846570" w:rsidRDefault="003B0223" w:rsidP="00CB08BE">
      <w:pPr>
        <w:pStyle w:val="ListParagraph"/>
        <w:rPr>
          <w:rFonts w:cstheme="minorHAnsi"/>
          <w:spacing w:val="-1"/>
          <w:lang w:val="es-ES"/>
        </w:rPr>
      </w:pPr>
    </w:p>
    <w:p w14:paraId="58000B28" w14:textId="112B33A7" w:rsidR="003B0223" w:rsidRPr="00846570" w:rsidRDefault="003B0223" w:rsidP="00CB08BE">
      <w:pPr>
        <w:pStyle w:val="ListParagraph"/>
        <w:rPr>
          <w:lang w:val="es-ES"/>
        </w:rPr>
      </w:pPr>
      <w:r>
        <w:rPr>
          <w:u w:val="single"/>
          <w:lang w:val="es-US"/>
        </w:rPr>
        <w:t>Equipos de protección personal, suministros y servicios de limpieza</w:t>
      </w:r>
      <w:r>
        <w:rPr>
          <w:lang w:val="es-US"/>
        </w:rPr>
        <w:t>: PPE, suministros y servicios de limpieza y desinfección, o formación y desarrollo profesional relacionados con las prácticas en materia de salud y seguridad. Los usos de los fondos de esta categoría no se limitan a los diseñados específicamente en respuesta a la emergencia de salud pública del COVID-19 y pueden estar destinados a cumplir con las directrices de salud y seguridad estatales y locales, incluidas las relacionadas con la prevención de enfermedades infecciosas; la prevención del síndrome de muerte súbita del lactante; el uso de prácticas de sueño seguras; la administración de medicamentos (en consonancia con las normas para el consentimiento de los padres); la prevención y la respuesta a las emergencias debidas a reacciones alimentarias y alérgicas; la seguridad de los edificios y las instalaciones físicas; la prevención del síndrome del bebé sacudido, los traumatismos craneoencefálicos y el maltrato infantil; la planificación de la respuesta ante emergencias derivadas de una catástrofe natural o de un suceso provocado por el hombre; la manipulación y el almacenamiento de materiales peligrosos y la eliminación adecuada de los biocontaminantes; las precauciones adecuadas en el transporte de los niños; los primeros auxilios pediátricos y la reanimación cardiopulmonar; y el reconocimiento y la notificación del maltrato y la negligencia infantiles.</w:t>
      </w:r>
    </w:p>
    <w:p w14:paraId="673D7219" w14:textId="3B4F0F82" w:rsidR="00194A49" w:rsidRPr="00846570" w:rsidRDefault="00194A49" w:rsidP="00CB08BE">
      <w:pPr>
        <w:pStyle w:val="ListParagraph"/>
        <w:rPr>
          <w:rFonts w:cstheme="minorHAnsi"/>
          <w:spacing w:val="-1"/>
          <w:lang w:val="es-ES"/>
        </w:rPr>
      </w:pPr>
    </w:p>
    <w:p w14:paraId="6312D3AD" w14:textId="430FB250" w:rsidR="00194A49" w:rsidRPr="00846570" w:rsidRDefault="00194A49" w:rsidP="00CB08BE">
      <w:pPr>
        <w:pStyle w:val="ListParagraph"/>
        <w:rPr>
          <w:lang w:val="es-ES"/>
        </w:rPr>
      </w:pPr>
      <w:r>
        <w:rPr>
          <w:u w:val="single"/>
          <w:lang w:val="es-US"/>
        </w:rPr>
        <w:lastRenderedPageBreak/>
        <w:t>Equipos y suministros</w:t>
      </w:r>
      <w:r>
        <w:rPr>
          <w:lang w:val="es-US"/>
        </w:rPr>
        <w:t xml:space="preserve">: Se permite la compra o actualización de equipos y suministros para responder a la emergencia de salud pública del COVID-19. Estos pueden incluir equipos y suministros interiores y exteriores que faciliten las prácticas empresariales </w:t>
      </w:r>
      <w:r w:rsidR="000E105E">
        <w:rPr>
          <w:lang w:val="es-US"/>
        </w:rPr>
        <w:t>de acuerdo</w:t>
      </w:r>
      <w:r>
        <w:rPr>
          <w:lang w:val="es-US"/>
        </w:rPr>
        <w:t xml:space="preserve"> con los protocolos de seguridad y las prácticas apropiadas para el desarrollo, así como los artículos empresariales necesarios para responder a los nuevos </w:t>
      </w:r>
      <w:r w:rsidRPr="00641C39">
        <w:rPr>
          <w:spacing w:val="-2"/>
          <w:lang w:val="es-US"/>
        </w:rPr>
        <w:t>desafíos, como el software empresarial y las actualizaciones, incluidas las actualizaciones</w:t>
      </w:r>
      <w:r>
        <w:rPr>
          <w:lang w:val="es-US"/>
        </w:rPr>
        <w:t xml:space="preserve"> tecnológicas que los programas pueden utilizar para recopilar datos e informar a las agencias principales.</w:t>
      </w:r>
    </w:p>
    <w:p w14:paraId="0B241AC3" w14:textId="453C252C" w:rsidR="000B3304" w:rsidRPr="00846570" w:rsidRDefault="000B3304" w:rsidP="00CB08BE">
      <w:pPr>
        <w:pStyle w:val="ListParagraph"/>
        <w:rPr>
          <w:lang w:val="es-ES"/>
        </w:rPr>
      </w:pPr>
    </w:p>
    <w:p w14:paraId="1B3F3917" w14:textId="161D462D" w:rsidR="00CB08BE" w:rsidRPr="00846570" w:rsidRDefault="000B3304" w:rsidP="000D357F">
      <w:pPr>
        <w:pStyle w:val="ListParagraph"/>
        <w:rPr>
          <w:rFonts w:cstheme="minorHAnsi"/>
          <w:spacing w:val="-1"/>
          <w:lang w:val="es-ES"/>
        </w:rPr>
      </w:pPr>
      <w:r>
        <w:rPr>
          <w:u w:val="single"/>
          <w:lang w:val="es-US"/>
        </w:rPr>
        <w:t>Otros bienes y servicios</w:t>
      </w:r>
      <w:r>
        <w:rPr>
          <w:lang w:val="es-US"/>
        </w:rPr>
        <w:t>: Cualquier bien material o servicio necesario para el funcionamiento de un programa de cuidado infantil es elegible, incluidos los necesarios para facilitar el juego, el aprendizaje, la alimentación y la seguridad. Esta categoría también puede incluir las tarifas asociadas a la concesión de licencias y al cumplimiento de los requisitos de autorización. Los proveedores también pueden utilizar los fondos para apoyar la salud mental de los niños y los empleados, incluso a través de Infant and Early Childhood Mental Health Consultations (Consultas de Salud Mental para Bebés y Primera Infancia (IECMCH) y los apoyos para la salud mental y el bienestar del personal.</w:t>
      </w:r>
    </w:p>
    <w:p w14:paraId="707FD52F" w14:textId="77777777" w:rsidR="00CB08BE" w:rsidRPr="00846570" w:rsidRDefault="00CB08BE" w:rsidP="00CB08BE">
      <w:pPr>
        <w:pStyle w:val="ListParagraph"/>
        <w:rPr>
          <w:rFonts w:cstheme="minorHAnsi"/>
          <w:spacing w:val="2"/>
          <w:w w:val="90"/>
          <w:lang w:val="es-ES"/>
        </w:rPr>
      </w:pPr>
    </w:p>
    <w:p w14:paraId="0CFBBE9E" w14:textId="5FE55903" w:rsidR="00684BB6" w:rsidRPr="00846570" w:rsidRDefault="00CF213F" w:rsidP="00E513C8">
      <w:pPr>
        <w:pStyle w:val="ListParagraph"/>
        <w:numPr>
          <w:ilvl w:val="0"/>
          <w:numId w:val="7"/>
        </w:numPr>
        <w:rPr>
          <w:rFonts w:cstheme="minorHAnsi"/>
          <w:spacing w:val="-1"/>
          <w:lang w:val="es-ES"/>
        </w:rPr>
      </w:pPr>
      <w:r>
        <w:rPr>
          <w:rFonts w:cstheme="minorHAnsi"/>
          <w:b/>
          <w:bCs/>
          <w:lang w:val="es-US"/>
        </w:rPr>
        <w:t>¿Cómo puedo mejorar la remuneración o los beneficios de los empleados con estos fondos?</w:t>
      </w:r>
    </w:p>
    <w:p w14:paraId="3368C67F" w14:textId="440E2E16" w:rsidR="00CB08D4" w:rsidRPr="00846570" w:rsidRDefault="004F1446" w:rsidP="000D357F">
      <w:pPr>
        <w:pStyle w:val="ListParagraph"/>
        <w:rPr>
          <w:lang w:val="es-ES"/>
        </w:rPr>
      </w:pPr>
      <w:r>
        <w:rPr>
          <w:lang w:val="es-US"/>
        </w:rPr>
        <w:t>Los proveedores tienen muchas opciones para utilizar sus fondos en la remuneración del personal, incluidas las bonificaciones, los aumentos salariales temporales, la prima o</w:t>
      </w:r>
      <w:r w:rsidR="00641C39">
        <w:rPr>
          <w:lang w:val="es-US"/>
        </w:rPr>
        <w:t> </w:t>
      </w:r>
      <w:r>
        <w:rPr>
          <w:lang w:val="es-US"/>
        </w:rPr>
        <w:t xml:space="preserve">la retribución por riesgo y la modificación de los paquetes de beneficios para los empleados. Por ejemplo, los proveedores podrían recompensar a los empleados con una bonificación en los momentos de mayor necesidad, como trabajar durante las noches u otras horas de trabajo no tradicionales, ofrecer una indemnización por riesgo </w:t>
      </w:r>
      <w:r w:rsidRPr="00C92D07">
        <w:rPr>
          <w:spacing w:val="-2"/>
          <w:lang w:val="es-US"/>
        </w:rPr>
        <w:t xml:space="preserve">para los empleados debido a la crisis del COVID-19, u ofrecer bonificaciones de retención </w:t>
      </w:r>
      <w:r>
        <w:rPr>
          <w:lang w:val="es-US"/>
        </w:rPr>
        <w:t xml:space="preserve">para los miembros del personal que permanezcan en el empleo (por ejemplo, ofrecer </w:t>
      </w:r>
      <w:r w:rsidRPr="00C92D07">
        <w:rPr>
          <w:spacing w:val="-2"/>
          <w:lang w:val="es-US"/>
        </w:rPr>
        <w:t xml:space="preserve">una bonificación de retención a todos los miembros del personal cada tres o seis meses). </w:t>
      </w:r>
    </w:p>
    <w:p w14:paraId="6C6B7961" w14:textId="77777777" w:rsidR="00CB08D4" w:rsidRPr="00846570" w:rsidRDefault="00CB08D4" w:rsidP="000D357F">
      <w:pPr>
        <w:pStyle w:val="ListParagraph"/>
        <w:rPr>
          <w:lang w:val="es-ES"/>
        </w:rPr>
      </w:pPr>
    </w:p>
    <w:p w14:paraId="2D7214AC" w14:textId="31B6D0C0" w:rsidR="004F09F6" w:rsidRPr="00846570" w:rsidRDefault="00674A7F" w:rsidP="004F09F6">
      <w:pPr>
        <w:pStyle w:val="ListParagraph"/>
        <w:spacing w:after="160"/>
        <w:rPr>
          <w:lang w:val="es-ES"/>
        </w:rPr>
      </w:pPr>
      <w:r>
        <w:rPr>
          <w:lang w:val="es-US"/>
        </w:rPr>
        <w:t>Los proveedores también pueden considerar su paquete de beneficios para empleados y</w:t>
      </w:r>
      <w:r w:rsidR="00C92D07">
        <w:rPr>
          <w:lang w:val="es-US"/>
        </w:rPr>
        <w:t> </w:t>
      </w:r>
      <w:r>
        <w:rPr>
          <w:lang w:val="es-US"/>
        </w:rPr>
        <w:t>si proporcionan a su personal beneficios adicionales, incluyendo el cuidado infantil de</w:t>
      </w:r>
      <w:r w:rsidR="00C92D07">
        <w:rPr>
          <w:lang w:val="es-US"/>
        </w:rPr>
        <w:t> </w:t>
      </w:r>
      <w:r>
        <w:rPr>
          <w:lang w:val="es-US"/>
        </w:rPr>
        <w:t>forma gratuita o a un costo reducido para el personal, tiempo libre remunerado, subsidios o reembolsos de suministros para el aula de los maestros, asistencia para el desarrollo profesional o reembolsos de matrícula, seguro médico o ayuda con las primas, o contribuciones para la jubilación.</w:t>
      </w:r>
    </w:p>
    <w:p w14:paraId="1EF565A8" w14:textId="2A78A08C" w:rsidR="00CB08D4" w:rsidRDefault="00CB08D4" w:rsidP="000D357F">
      <w:pPr>
        <w:pStyle w:val="ListParagraph"/>
        <w:rPr>
          <w:lang w:val="es-ES"/>
        </w:rPr>
      </w:pPr>
    </w:p>
    <w:p w14:paraId="70B3F140" w14:textId="79C10B1A" w:rsidR="00567FFD" w:rsidRPr="00D12386" w:rsidRDefault="00567FFD" w:rsidP="000D357F">
      <w:pPr>
        <w:pStyle w:val="ListParagraph"/>
        <w:rPr>
          <w:rFonts w:cstheme="minorHAnsi"/>
          <w:lang w:val="es-ES"/>
        </w:rPr>
      </w:pPr>
      <w:r w:rsidRPr="00567FFD">
        <w:rPr>
          <w:rFonts w:cstheme="minorHAnsi"/>
          <w:lang w:val="es-ES"/>
        </w:rPr>
        <w:t>Para obtener más información sobre cómo apoyar a su personal con su CCRF 2022, consulte nuestro</w:t>
      </w:r>
      <w:r w:rsidRPr="00D12386">
        <w:rPr>
          <w:rFonts w:cstheme="minorHAnsi"/>
          <w:lang w:val="es-ES"/>
        </w:rPr>
        <w:t xml:space="preserve"> Child Care Workforce Provider Decision Tool en </w:t>
      </w:r>
      <w:hyperlink r:id="rId36" w:history="1">
        <w:r w:rsidRPr="00D12386">
          <w:rPr>
            <w:rStyle w:val="Hyperlink"/>
            <w:rFonts w:cstheme="minorHAnsi"/>
            <w:lang w:val="es-ES"/>
          </w:rPr>
          <w:t>inglés</w:t>
        </w:r>
      </w:hyperlink>
      <w:r w:rsidRPr="00D12386">
        <w:rPr>
          <w:rFonts w:cstheme="minorHAnsi"/>
          <w:lang w:val="es-ES"/>
        </w:rPr>
        <w:t xml:space="preserve"> </w:t>
      </w:r>
      <w:r w:rsidR="007D0DB2" w:rsidRPr="00D12386">
        <w:rPr>
          <w:rFonts w:cstheme="minorHAnsi"/>
          <w:lang w:val="es-ES"/>
        </w:rPr>
        <w:t xml:space="preserve">o </w:t>
      </w:r>
      <w:hyperlink r:id="rId37" w:history="1">
        <w:r w:rsidRPr="00D12386">
          <w:rPr>
            <w:rStyle w:val="Hyperlink"/>
            <w:rFonts w:cstheme="minorHAnsi"/>
            <w:lang w:val="es-ES"/>
          </w:rPr>
          <w:t>español</w:t>
        </w:r>
      </w:hyperlink>
      <w:r w:rsidR="007D0DB2" w:rsidRPr="00D12386">
        <w:rPr>
          <w:rFonts w:cstheme="minorHAnsi"/>
          <w:lang w:val="es-ES"/>
        </w:rPr>
        <w:t>.</w:t>
      </w:r>
    </w:p>
    <w:p w14:paraId="1CAF71C5" w14:textId="77777777" w:rsidR="00567FFD" w:rsidRPr="00846570" w:rsidRDefault="00567FFD" w:rsidP="000D357F">
      <w:pPr>
        <w:pStyle w:val="ListParagraph"/>
        <w:rPr>
          <w:lang w:val="es-ES"/>
        </w:rPr>
      </w:pPr>
    </w:p>
    <w:p w14:paraId="4FEDD018" w14:textId="5593B78C" w:rsidR="00E513C8" w:rsidRPr="00846570" w:rsidRDefault="005E3AD8" w:rsidP="000D357F">
      <w:pPr>
        <w:pStyle w:val="ListParagraph"/>
        <w:rPr>
          <w:lang w:val="es-ES"/>
        </w:rPr>
      </w:pPr>
      <w:r>
        <w:rPr>
          <w:lang w:val="es-US"/>
        </w:rPr>
        <w:t xml:space="preserve">Para obtener más información sobre la mejor manera de apoyar a sus empleados con esta financiación, no dude en solicitar el apoyo de un </w:t>
      </w:r>
      <w:hyperlink r:id="rId38" w:history="1">
        <w:r>
          <w:rPr>
            <w:rStyle w:val="Hyperlink"/>
            <w:rFonts w:cstheme="minorHAnsi"/>
            <w:lang w:val="es-US"/>
          </w:rPr>
          <w:t>asesor empresarial de forma gratuita</w:t>
        </w:r>
      </w:hyperlink>
      <w:r>
        <w:rPr>
          <w:lang w:val="es-US"/>
        </w:rPr>
        <w:t>.</w:t>
      </w:r>
    </w:p>
    <w:p w14:paraId="4D60F55B" w14:textId="77777777" w:rsidR="00E513C8" w:rsidRPr="00846570" w:rsidRDefault="00E513C8" w:rsidP="00E513C8">
      <w:pPr>
        <w:pStyle w:val="ListParagraph"/>
        <w:rPr>
          <w:rFonts w:cstheme="minorHAnsi"/>
          <w:b/>
          <w:bCs/>
          <w:lang w:val="es-ES"/>
        </w:rPr>
      </w:pPr>
    </w:p>
    <w:p w14:paraId="30EBCEC1" w14:textId="4F0DA7AD" w:rsidR="00E304BE" w:rsidRPr="00846570" w:rsidRDefault="00E304BE" w:rsidP="00B11023">
      <w:pPr>
        <w:pStyle w:val="ListParagraph"/>
        <w:keepNext/>
        <w:numPr>
          <w:ilvl w:val="0"/>
          <w:numId w:val="7"/>
        </w:numPr>
        <w:ind w:left="714" w:hanging="357"/>
        <w:rPr>
          <w:rFonts w:cstheme="minorHAnsi"/>
          <w:b/>
          <w:bCs/>
          <w:lang w:val="es-ES"/>
        </w:rPr>
      </w:pPr>
      <w:r>
        <w:rPr>
          <w:rFonts w:cstheme="minorHAnsi"/>
          <w:b/>
          <w:bCs/>
          <w:lang w:val="es-US"/>
        </w:rPr>
        <w:lastRenderedPageBreak/>
        <w:t>¿Puedo pagar los gastos previos con esta adjudicación?</w:t>
      </w:r>
    </w:p>
    <w:p w14:paraId="06A797AB" w14:textId="020F1B05" w:rsidR="00F57F20" w:rsidRDefault="00E06C0B" w:rsidP="00F57F20">
      <w:pPr>
        <w:pStyle w:val="ListParagraph"/>
        <w:rPr>
          <w:rFonts w:cstheme="minorHAnsi"/>
          <w:spacing w:val="-2"/>
          <w:lang w:val="es-US"/>
        </w:rPr>
      </w:pPr>
      <w:r>
        <w:rPr>
          <w:rFonts w:cstheme="minorHAnsi"/>
          <w:lang w:val="es-US"/>
        </w:rPr>
        <w:t xml:space="preserve">Sí, el CCRF de 2022 puede utilizarse para reembolsar los gastos admisibles (detallados anteriormente) que ya se hayan pagado. Los proveedores solo podrán utilizar los fondos </w:t>
      </w:r>
      <w:r w:rsidRPr="005214A4">
        <w:rPr>
          <w:rFonts w:cstheme="minorHAnsi"/>
          <w:spacing w:val="-2"/>
          <w:lang w:val="es-US"/>
        </w:rPr>
        <w:t>en gastos que se produzcan entre el 1.º de septiembre de 2021 y el 3</w:t>
      </w:r>
      <w:r w:rsidR="007A6D0E">
        <w:rPr>
          <w:rFonts w:cstheme="minorHAnsi"/>
          <w:spacing w:val="-2"/>
          <w:lang w:val="es-US"/>
        </w:rPr>
        <w:t>0</w:t>
      </w:r>
      <w:r w:rsidRPr="005214A4">
        <w:rPr>
          <w:rFonts w:cstheme="minorHAnsi"/>
          <w:spacing w:val="-2"/>
          <w:lang w:val="es-US"/>
        </w:rPr>
        <w:t xml:space="preserve"> de </w:t>
      </w:r>
      <w:r w:rsidR="001B5CEA">
        <w:rPr>
          <w:rFonts w:cstheme="minorHAnsi"/>
          <w:spacing w:val="-2"/>
          <w:lang w:val="es-US"/>
        </w:rPr>
        <w:t>noviembre</w:t>
      </w:r>
      <w:r w:rsidRPr="005214A4">
        <w:rPr>
          <w:rFonts w:cstheme="minorHAnsi"/>
          <w:spacing w:val="-2"/>
          <w:lang w:val="es-US"/>
        </w:rPr>
        <w:t xml:space="preserve"> de 2023. </w:t>
      </w:r>
    </w:p>
    <w:p w14:paraId="078C816F" w14:textId="77777777" w:rsidR="00567FFD" w:rsidRPr="00846570" w:rsidRDefault="00567FFD" w:rsidP="00567FFD">
      <w:pPr>
        <w:rPr>
          <w:rFonts w:cstheme="minorHAnsi"/>
          <w:lang w:val="es-ES"/>
        </w:rPr>
      </w:pPr>
    </w:p>
    <w:p w14:paraId="344E399F" w14:textId="733511EC" w:rsidR="00567FFD" w:rsidRPr="00846570" w:rsidRDefault="00567FFD" w:rsidP="00567FFD">
      <w:pPr>
        <w:pStyle w:val="ListParagraph"/>
        <w:numPr>
          <w:ilvl w:val="0"/>
          <w:numId w:val="7"/>
        </w:numPr>
        <w:rPr>
          <w:rFonts w:cstheme="minorHAnsi"/>
          <w:b/>
          <w:bCs/>
          <w:lang w:val="es-ES"/>
        </w:rPr>
      </w:pPr>
      <w:r>
        <w:rPr>
          <w:rFonts w:cstheme="minorHAnsi"/>
          <w:b/>
          <w:bCs/>
          <w:lang w:val="es-US"/>
        </w:rPr>
        <w:t>Soy un proveedor basado en casa. ¿Cómo debo determinar qué porcentaje del pago de la hipoteca/alquiler o de las facturas de servicios públicos se considerará admisible?</w:t>
      </w:r>
    </w:p>
    <w:p w14:paraId="4353F937" w14:textId="7CB019B8" w:rsidR="00567FFD" w:rsidRPr="00567FFD" w:rsidRDefault="00567FFD" w:rsidP="00567FFD">
      <w:pPr>
        <w:pStyle w:val="ListParagraph"/>
        <w:rPr>
          <w:rFonts w:cstheme="minorHAnsi"/>
          <w:lang w:val="es-ES"/>
        </w:rPr>
      </w:pPr>
      <w:r w:rsidRPr="00B11023">
        <w:rPr>
          <w:rFonts w:cstheme="minorHAnsi"/>
          <w:spacing w:val="-2"/>
          <w:lang w:val="es-US"/>
        </w:rPr>
        <w:t xml:space="preserve">Los proveedores de cuidado infantil a domicilio deben utilizar la </w:t>
      </w:r>
      <w:hyperlink r:id="rId39" w:history="1">
        <w:r w:rsidRPr="00B11023">
          <w:rPr>
            <w:rStyle w:val="Hyperlink"/>
            <w:rFonts w:cstheme="minorHAnsi"/>
            <w:spacing w:val="-2"/>
            <w:lang w:val="es-US"/>
          </w:rPr>
          <w:t>cantidad de su porcentaje de espacio-tiempo</w:t>
        </w:r>
      </w:hyperlink>
      <w:r>
        <w:rPr>
          <w:rFonts w:cstheme="minorHAnsi"/>
          <w:lang w:val="es-US"/>
        </w:rPr>
        <w:t xml:space="preserve"> para reclamar las facturas de hipotecas/alquileres o servicios públicos correspondientes a estos fondos. El porcentaje de tiempo-espacio se utiliza para determinar qué parte del costo de los artículos utilizados tanto para fines empresariales como personales puede deducirse como gasto empresarial. Puede </w:t>
      </w:r>
      <w:hyperlink r:id="rId40" w:history="1">
        <w:r>
          <w:rPr>
            <w:rStyle w:val="Hyperlink"/>
            <w:rFonts w:cstheme="minorHAnsi"/>
            <w:lang w:val="es-US"/>
          </w:rPr>
          <w:t>ponerse en contacto con los asesores empresariales en materia de cuidado infantil</w:t>
        </w:r>
      </w:hyperlink>
      <w:r>
        <w:rPr>
          <w:rFonts w:cstheme="minorHAnsi"/>
          <w:lang w:val="es-US"/>
        </w:rPr>
        <w:t xml:space="preserve"> para que le ayuden en este tema.</w:t>
      </w:r>
    </w:p>
    <w:p w14:paraId="68E32E34" w14:textId="77777777" w:rsidR="00F57F20" w:rsidRPr="00846570" w:rsidRDefault="00F57F20" w:rsidP="00F57F20">
      <w:pPr>
        <w:pStyle w:val="ListParagraph"/>
        <w:rPr>
          <w:rFonts w:cstheme="minorHAnsi"/>
          <w:b/>
          <w:bCs/>
          <w:lang w:val="es-ES"/>
        </w:rPr>
      </w:pPr>
    </w:p>
    <w:p w14:paraId="35B45AD1" w14:textId="22AD8CE9" w:rsidR="0046509C" w:rsidRPr="00846570" w:rsidRDefault="005B691A" w:rsidP="00B63112">
      <w:pPr>
        <w:pStyle w:val="ListParagraph"/>
        <w:keepNext/>
        <w:numPr>
          <w:ilvl w:val="0"/>
          <w:numId w:val="7"/>
        </w:numPr>
        <w:ind w:left="714" w:hanging="357"/>
        <w:rPr>
          <w:rFonts w:cstheme="minorHAnsi"/>
          <w:b/>
          <w:bCs/>
          <w:lang w:val="es-ES"/>
        </w:rPr>
      </w:pPr>
      <w:r>
        <w:rPr>
          <w:rFonts w:cstheme="minorHAnsi"/>
          <w:b/>
          <w:bCs/>
          <w:lang w:val="es-US"/>
        </w:rPr>
        <w:t>¿Puede la TWC ofrecer más información sobre el alivio de matrícula o de los copagos?</w:t>
      </w:r>
    </w:p>
    <w:p w14:paraId="6D9B2CD3" w14:textId="4672F6BA" w:rsidR="00695AAC" w:rsidRPr="00846570" w:rsidRDefault="00922A5B" w:rsidP="00695AAC">
      <w:pPr>
        <w:ind w:left="720"/>
        <w:rPr>
          <w:rFonts w:cstheme="minorHAnsi"/>
          <w:lang w:val="es-ES"/>
        </w:rPr>
      </w:pPr>
      <w:r>
        <w:rPr>
          <w:lang w:val="es-US"/>
        </w:rPr>
        <w:t xml:space="preserve">Los proveedores deben </w:t>
      </w:r>
      <w:r w:rsidR="00542857">
        <w:rPr>
          <w:lang w:val="es-US"/>
        </w:rPr>
        <w:t>brindar</w:t>
      </w:r>
      <w:r>
        <w:rPr>
          <w:lang w:val="es-US"/>
        </w:rPr>
        <w:t xml:space="preserve"> alivio de los copagos y pagos de matrícula a las familias inscritas en el programa del proveedor, en la medida de lo posible, y dar prioridad sobre dicho alivio a las familias que tienen dificultades para realizar cualquiera de los dos tipos de pagos. Por ejemplo, si el proveedor no puede ofrecer esta ayuda a todas las familias, debería dar prioridad a las familias más necesitadas de ayuda y dirigirse a las que ganan menos del 85 % del SMI para el mismo tamaño de familia, que es de $72,582 para una familia de cuatro miembros. Puede </w:t>
      </w:r>
      <w:hyperlink r:id="rId41" w:history="1">
        <w:r>
          <w:rPr>
            <w:rStyle w:val="Hyperlink"/>
            <w:lang w:val="es-US"/>
          </w:rPr>
          <w:t xml:space="preserve">encontrar más información sobre los niveles </w:t>
        </w:r>
        <w:r w:rsidR="006019AE">
          <w:rPr>
            <w:rStyle w:val="Hyperlink"/>
            <w:lang w:val="es-US"/>
          </w:rPr>
          <w:t>del ingreso estatal</w:t>
        </w:r>
        <w:r>
          <w:rPr>
            <w:rStyle w:val="Hyperlink"/>
            <w:lang w:val="es-US"/>
          </w:rPr>
          <w:t xml:space="preserve"> promedio aquí</w:t>
        </w:r>
      </w:hyperlink>
      <w:r>
        <w:rPr>
          <w:lang w:val="es-US"/>
        </w:rPr>
        <w:t>.</w:t>
      </w:r>
    </w:p>
    <w:p w14:paraId="0D57D492" w14:textId="77777777" w:rsidR="00163647" w:rsidRPr="00846570" w:rsidRDefault="00163647" w:rsidP="00695AAC">
      <w:pPr>
        <w:ind w:left="720"/>
        <w:rPr>
          <w:rFonts w:cstheme="minorHAnsi"/>
          <w:lang w:val="es-ES"/>
        </w:rPr>
      </w:pPr>
    </w:p>
    <w:p w14:paraId="61AF33C5" w14:textId="77777777" w:rsidR="00567FFD" w:rsidRDefault="00500128" w:rsidP="008C0E64">
      <w:pPr>
        <w:pStyle w:val="ListParagraph"/>
        <w:rPr>
          <w:lang w:val="es-US"/>
        </w:rPr>
      </w:pPr>
      <w:r>
        <w:rPr>
          <w:lang w:val="es-US"/>
        </w:rPr>
        <w:t xml:space="preserve">Se recomienda que los proveedores desarrollen una política escrita para ofrecer alivio de los copagos y pagos de matrícula a las familias, en la medida de lo posible, y dar prioridad a las familias que ganan menos del 85 % </w:t>
      </w:r>
      <w:r w:rsidR="006019AE">
        <w:rPr>
          <w:lang w:val="es-US"/>
        </w:rPr>
        <w:t>del</w:t>
      </w:r>
      <w:r>
        <w:rPr>
          <w:lang w:val="es-US"/>
        </w:rPr>
        <w:t xml:space="preserve"> SMI. </w:t>
      </w:r>
    </w:p>
    <w:p w14:paraId="5E12BB75" w14:textId="77777777" w:rsidR="00567FFD" w:rsidRDefault="00567FFD" w:rsidP="008C0E64">
      <w:pPr>
        <w:pStyle w:val="ListParagraph"/>
        <w:rPr>
          <w:lang w:val="es-US"/>
        </w:rPr>
      </w:pPr>
    </w:p>
    <w:p w14:paraId="3F458DBC" w14:textId="0D8D8F39" w:rsidR="00163647" w:rsidRPr="00846570" w:rsidRDefault="00567FFD" w:rsidP="008C0E64">
      <w:pPr>
        <w:pStyle w:val="ListParagraph"/>
        <w:rPr>
          <w:lang w:val="es-ES"/>
        </w:rPr>
      </w:pPr>
      <w:r w:rsidRPr="00567FFD">
        <w:rPr>
          <w:lang w:val="es-US"/>
        </w:rPr>
        <w:t>Obtenga más información leyendo nuestra guía sobre</w:t>
      </w:r>
      <w:r>
        <w:rPr>
          <w:lang w:val="es-US"/>
        </w:rPr>
        <w:t xml:space="preserve"> How to Create a Tuition Assistance Policy </w:t>
      </w:r>
      <w:r w:rsidRPr="00567FFD">
        <w:rPr>
          <w:lang w:val="es-US"/>
        </w:rPr>
        <w:t xml:space="preserve">disponible en </w:t>
      </w:r>
      <w:hyperlink r:id="rId42" w:history="1">
        <w:r w:rsidRPr="00567FFD">
          <w:rPr>
            <w:rStyle w:val="Hyperlink"/>
            <w:lang w:val="es-US"/>
          </w:rPr>
          <w:t>inglés</w:t>
        </w:r>
      </w:hyperlink>
      <w:r w:rsidR="007D0DB2">
        <w:rPr>
          <w:lang w:val="es-US"/>
        </w:rPr>
        <w:t xml:space="preserve"> o</w:t>
      </w:r>
      <w:r w:rsidRPr="00567FFD">
        <w:rPr>
          <w:lang w:val="es-US"/>
        </w:rPr>
        <w:t xml:space="preserve"> </w:t>
      </w:r>
      <w:hyperlink r:id="rId43" w:history="1">
        <w:r w:rsidRPr="00567FFD">
          <w:rPr>
            <w:rStyle w:val="Hyperlink"/>
            <w:lang w:val="es-US"/>
          </w:rPr>
          <w:t>español</w:t>
        </w:r>
      </w:hyperlink>
      <w:r w:rsidRPr="00567FFD">
        <w:rPr>
          <w:lang w:val="es-US"/>
        </w:rPr>
        <w:t>.</w:t>
      </w:r>
      <w:r>
        <w:rPr>
          <w:lang w:val="es-US"/>
        </w:rPr>
        <w:t xml:space="preserve"> </w:t>
      </w:r>
      <w:r w:rsidR="00500128">
        <w:rPr>
          <w:lang w:val="es-US"/>
        </w:rPr>
        <w:t xml:space="preserve">Si necesita ayuda para elaborar una política escrita, </w:t>
      </w:r>
      <w:hyperlink r:id="rId44" w:history="1">
        <w:r w:rsidR="00500128">
          <w:rPr>
            <w:rStyle w:val="Hyperlink"/>
            <w:rFonts w:cstheme="minorHAnsi"/>
            <w:lang w:val="es-US"/>
          </w:rPr>
          <w:t>comuníquese con un asesor empresarial de forma gratuita</w:t>
        </w:r>
      </w:hyperlink>
      <w:r w:rsidR="00500128">
        <w:rPr>
          <w:lang w:val="es-US"/>
        </w:rPr>
        <w:t>.</w:t>
      </w:r>
    </w:p>
    <w:p w14:paraId="5D856647" w14:textId="77777777" w:rsidR="00695AAC" w:rsidRPr="00846570" w:rsidRDefault="00695AAC" w:rsidP="00695AAC">
      <w:pPr>
        <w:rPr>
          <w:rFonts w:cstheme="minorHAnsi"/>
          <w:b/>
          <w:bCs/>
          <w:lang w:val="es-ES"/>
        </w:rPr>
      </w:pPr>
    </w:p>
    <w:p w14:paraId="7322593E" w14:textId="640F219A" w:rsidR="00CB08BE" w:rsidRPr="00846570" w:rsidRDefault="00CB08BE" w:rsidP="009B4261">
      <w:pPr>
        <w:pStyle w:val="ListParagraph"/>
        <w:numPr>
          <w:ilvl w:val="0"/>
          <w:numId w:val="7"/>
        </w:numPr>
        <w:rPr>
          <w:rFonts w:cstheme="minorHAnsi"/>
          <w:b/>
          <w:bCs/>
          <w:lang w:val="es-ES"/>
        </w:rPr>
      </w:pPr>
      <w:r>
        <w:rPr>
          <w:rFonts w:cstheme="minorHAnsi"/>
          <w:b/>
          <w:bCs/>
          <w:lang w:val="es-US"/>
        </w:rPr>
        <w:t>¿Existe alguna actividad para la que no pueda utilizar el CCRF?</w:t>
      </w:r>
    </w:p>
    <w:p w14:paraId="17013D4C" w14:textId="561A7CF7" w:rsidR="00E53D68" w:rsidRPr="00857A01" w:rsidRDefault="00E53D68" w:rsidP="00E53D68">
      <w:pPr>
        <w:ind w:left="720"/>
        <w:rPr>
          <w:rFonts w:cstheme="minorHAnsi"/>
          <w:lang w:val="es-ES"/>
        </w:rPr>
      </w:pPr>
      <w:r w:rsidRPr="00E53D68">
        <w:rPr>
          <w:rFonts w:cstheme="minorHAnsi"/>
          <w:lang w:val="es-ES"/>
        </w:rPr>
        <w:t>El CCRF no se puede usar en: gastos ya cubiertos por otro programa estatal o federal, incluidos otros fondos de ayuda; construcción o renovaciones importantes; impuestos federales; o gastos incurridos antes del 1 de septiembre de 2021 o después del 3</w:t>
      </w:r>
      <w:r w:rsidR="001B5CEA">
        <w:rPr>
          <w:rFonts w:cstheme="minorHAnsi"/>
          <w:lang w:val="es-ES"/>
        </w:rPr>
        <w:t>0</w:t>
      </w:r>
      <w:r w:rsidRPr="00E53D68">
        <w:rPr>
          <w:rFonts w:cstheme="minorHAnsi"/>
          <w:lang w:val="es-ES"/>
        </w:rPr>
        <w:t xml:space="preserve"> de </w:t>
      </w:r>
      <w:r w:rsidR="001B5CEA">
        <w:rPr>
          <w:rFonts w:cstheme="minorHAnsi"/>
          <w:lang w:val="es-ES"/>
        </w:rPr>
        <w:t>noviembre</w:t>
      </w:r>
      <w:r w:rsidR="00F77353">
        <w:rPr>
          <w:rFonts w:cstheme="minorHAnsi"/>
          <w:lang w:val="es-ES"/>
        </w:rPr>
        <w:t xml:space="preserve"> </w:t>
      </w:r>
      <w:r w:rsidRPr="00E53D68">
        <w:rPr>
          <w:rFonts w:cstheme="minorHAnsi"/>
          <w:lang w:val="es-ES"/>
        </w:rPr>
        <w:t>de 2023. Si usted es un proveedor de cuidado infantil en el hogar, debe usar el porcentaje de tiempo y espacio para determinar la parte adecuada de ciertos gastos que puede reclamar. Si tiene gastos específicos que le gustaría discutir y no está seguro de si se pueden financiar, comuníquese con un entrenador de negocios gratuito sobre este tema o lea nuestros recursos en www.childcare.texas.gov.</w:t>
      </w:r>
    </w:p>
    <w:p w14:paraId="0F771C13" w14:textId="77777777" w:rsidR="00CB08BE" w:rsidRPr="00846570" w:rsidRDefault="00CB08BE" w:rsidP="00CB08BE">
      <w:pPr>
        <w:rPr>
          <w:rFonts w:cstheme="minorHAnsi"/>
          <w:lang w:val="es-ES"/>
        </w:rPr>
      </w:pPr>
    </w:p>
    <w:p w14:paraId="677CBE38" w14:textId="6E70174B" w:rsidR="00CB08BE" w:rsidRPr="00846570" w:rsidRDefault="001966A5" w:rsidP="009B4261">
      <w:pPr>
        <w:pStyle w:val="ListParagraph"/>
        <w:numPr>
          <w:ilvl w:val="0"/>
          <w:numId w:val="7"/>
        </w:numPr>
        <w:rPr>
          <w:rFonts w:cstheme="minorHAnsi"/>
          <w:b/>
          <w:bCs/>
          <w:lang w:val="es-ES"/>
        </w:rPr>
      </w:pPr>
      <w:r>
        <w:rPr>
          <w:rFonts w:cstheme="minorHAnsi"/>
          <w:b/>
          <w:bCs/>
          <w:lang w:val="es-US"/>
        </w:rPr>
        <w:t>¿El CCRF se considera un ingreso sujeto a impuestos?</w:t>
      </w:r>
    </w:p>
    <w:p w14:paraId="379A68D3" w14:textId="7AB23987" w:rsidR="00CB08BE" w:rsidRPr="00846570" w:rsidRDefault="00567FFD" w:rsidP="00CB08BE">
      <w:pPr>
        <w:pStyle w:val="ListParagraph"/>
        <w:rPr>
          <w:rFonts w:cstheme="minorHAnsi"/>
          <w:lang w:val="es-ES"/>
        </w:rPr>
      </w:pPr>
      <w:r>
        <w:rPr>
          <w:rFonts w:cstheme="minorHAnsi"/>
          <w:lang w:val="es-US"/>
        </w:rPr>
        <w:t xml:space="preserve">Si. </w:t>
      </w:r>
      <w:r w:rsidR="00CB08BE">
        <w:rPr>
          <w:rFonts w:cstheme="minorHAnsi"/>
          <w:lang w:val="es-US"/>
        </w:rPr>
        <w:t xml:space="preserve">El CCRF está estructurado para reembolsarle los gastos que ya ha tenido o tendrá. Es decir, aunque estos gastos hayan sido pagados por el programa de ayuda estatal, siguen siendo deducibles en sus impuestos. Sin embargo, los proveedores también deben declarar los ingresos adicionales del fondo de alivio. Dado que la financiación adicional destinada a la ayuda cuenta como ingresos del Estado, es probable que los proveedores tengan que pagar más impuestos, pero solo sobre la cantidad adicional. Aunque el CCRF puede aumentar su responsabilidad fiscal, puede proporcionarle nuevos ingresos, aunque tenga que pagar impuestos por ellos. Una forma de anticiparse a estos impuestos es reservar una cantidad de los nuevos ingresos que sea igual a su tasa impositiva marginal. Si no está seguro, utilice la tasa del 22 %, que es la más común en los Estados Unidos. Para obtener más información sobre los impuestos, </w:t>
      </w:r>
      <w:hyperlink r:id="rId45" w:history="1">
        <w:r w:rsidR="00CB08BE">
          <w:rPr>
            <w:rStyle w:val="Hyperlink"/>
            <w:rFonts w:cstheme="minorHAnsi"/>
            <w:lang w:val="es-US"/>
          </w:rPr>
          <w:t>comuníquese con un asesor empresarial de forma gratuita</w:t>
        </w:r>
      </w:hyperlink>
      <w:r w:rsidR="00CB08BE">
        <w:rPr>
          <w:rFonts w:cstheme="minorHAnsi"/>
          <w:lang w:val="es-US"/>
        </w:rPr>
        <w:t>.</w:t>
      </w:r>
    </w:p>
    <w:p w14:paraId="27867911" w14:textId="5376334A" w:rsidR="00185D0D" w:rsidRDefault="00185D0D" w:rsidP="00CB08BE">
      <w:pPr>
        <w:pStyle w:val="ListParagraph"/>
        <w:rPr>
          <w:rFonts w:cstheme="minorHAnsi"/>
          <w:lang w:val="es-ES"/>
        </w:rPr>
      </w:pPr>
    </w:p>
    <w:p w14:paraId="76644C2B" w14:textId="77777777" w:rsidR="00745F60" w:rsidRPr="0067713F" w:rsidRDefault="00745F60" w:rsidP="000462B9">
      <w:pPr>
        <w:pStyle w:val="Heading1"/>
        <w:rPr>
          <w:rFonts w:cstheme="majorHAnsi"/>
          <w:sz w:val="28"/>
          <w:szCs w:val="28"/>
          <w:shd w:val="clear" w:color="auto" w:fill="D2E3FC"/>
          <w:lang w:val="es-ES"/>
        </w:rPr>
      </w:pPr>
      <w:r w:rsidRPr="00B602FE">
        <w:rPr>
          <w:rFonts w:cstheme="majorHAnsi"/>
          <w:sz w:val="28"/>
          <w:szCs w:val="28"/>
          <w:lang w:val="es-ES"/>
        </w:rPr>
        <w:t>Montos actualizados de los premios CCRF de 2022</w:t>
      </w:r>
      <w:r w:rsidRPr="0067713F">
        <w:rPr>
          <w:rFonts w:cstheme="majorHAnsi"/>
          <w:sz w:val="28"/>
          <w:szCs w:val="28"/>
          <w:shd w:val="clear" w:color="auto" w:fill="D2E3FC"/>
          <w:lang w:val="es-ES"/>
        </w:rPr>
        <w:t xml:space="preserve"> </w:t>
      </w:r>
    </w:p>
    <w:p w14:paraId="08CCEA2E" w14:textId="44C407B8" w:rsidR="00745F60" w:rsidRPr="0067713F" w:rsidRDefault="00745F60" w:rsidP="000462B9">
      <w:pPr>
        <w:spacing w:line="420" w:lineRule="atLeast"/>
        <w:ind w:left="720" w:hanging="270"/>
        <w:rPr>
          <w:rFonts w:eastAsia="Times New Roman" w:cstheme="minorHAnsi"/>
          <w:b/>
          <w:bCs/>
          <w:color w:val="000000"/>
          <w:shd w:val="clear" w:color="auto" w:fill="D2E3FC"/>
          <w:lang w:val="es-ES"/>
        </w:rPr>
      </w:pPr>
      <w:r w:rsidRPr="00B602FE">
        <w:rPr>
          <w:rFonts w:eastAsia="Times New Roman" w:cstheme="minorHAnsi"/>
          <w:b/>
          <w:bCs/>
          <w:color w:val="000000"/>
          <w:lang w:val="es-ES"/>
        </w:rPr>
        <w:t>1.</w:t>
      </w:r>
      <w:r w:rsidR="00D24FA0" w:rsidRPr="00B602FE">
        <w:rPr>
          <w:rFonts w:eastAsia="Times New Roman" w:cstheme="minorHAnsi"/>
          <w:b/>
          <w:bCs/>
          <w:color w:val="000000"/>
          <w:lang w:val="es-ES"/>
        </w:rPr>
        <w:t xml:space="preserve"> </w:t>
      </w:r>
      <w:r w:rsidRPr="00B602FE">
        <w:rPr>
          <w:rFonts w:eastAsia="Times New Roman" w:cstheme="minorHAnsi"/>
          <w:b/>
          <w:bCs/>
          <w:color w:val="000000"/>
          <w:lang w:val="es-ES"/>
        </w:rPr>
        <w:t>¿Quién es elegible para recibir un monto de adjudicación CCRF actualizado para 2022?</w:t>
      </w:r>
    </w:p>
    <w:p w14:paraId="38409312" w14:textId="6F5403C4" w:rsidR="00745F60" w:rsidRPr="0067713F" w:rsidRDefault="00745F60" w:rsidP="00B602FE">
      <w:pPr>
        <w:ind w:left="720"/>
        <w:rPr>
          <w:shd w:val="clear" w:color="auto" w:fill="D2E3FC"/>
          <w:lang w:val="es-ES"/>
        </w:rPr>
      </w:pPr>
      <w:r w:rsidRPr="00B602FE">
        <w:rPr>
          <w:lang w:val="es-ES"/>
        </w:rPr>
        <w:t>Los proveedores que sigan siendo elegibles para el CCRF de 2022 serán elegibles para recibir un monto de adjudicación del CCRF modificado si cumple con al menos uno de los siguientes criterios:</w:t>
      </w:r>
      <w:r w:rsidRPr="0067713F">
        <w:rPr>
          <w:shd w:val="clear" w:color="auto" w:fill="D2E3FC"/>
          <w:lang w:val="es-ES"/>
        </w:rPr>
        <w:t xml:space="preserve"> </w:t>
      </w:r>
    </w:p>
    <w:p w14:paraId="2056ECE6" w14:textId="77777777" w:rsidR="00745F60" w:rsidRPr="0067713F" w:rsidRDefault="00745F60" w:rsidP="00B602FE">
      <w:pPr>
        <w:ind w:left="1440"/>
        <w:rPr>
          <w:shd w:val="clear" w:color="auto" w:fill="D2E3FC"/>
          <w:lang w:val="es-ES"/>
        </w:rPr>
      </w:pPr>
      <w:r w:rsidRPr="00B602FE">
        <w:rPr>
          <w:lang w:val="es-ES"/>
        </w:rPr>
        <w:t>1. Está en un desierto de cuidado infantil recientemente identificado en 2022 y no recibió el complemento del desierto en su monto de adjudicación CCRF calculado originalmente para 2022;</w:t>
      </w:r>
      <w:r w:rsidRPr="0067713F">
        <w:rPr>
          <w:shd w:val="clear" w:color="auto" w:fill="D2E3FC"/>
          <w:lang w:val="es-ES"/>
        </w:rPr>
        <w:t xml:space="preserve"> </w:t>
      </w:r>
    </w:p>
    <w:p w14:paraId="41CAFD22" w14:textId="77777777" w:rsidR="00745F60" w:rsidRPr="0067713F" w:rsidRDefault="00745F60" w:rsidP="00B602FE">
      <w:pPr>
        <w:ind w:left="1440"/>
        <w:rPr>
          <w:shd w:val="clear" w:color="auto" w:fill="D2E3FC"/>
          <w:lang w:val="es-ES"/>
        </w:rPr>
      </w:pPr>
      <w:r w:rsidRPr="00B602FE">
        <w:rPr>
          <w:lang w:val="es-ES"/>
        </w:rPr>
        <w:t xml:space="preserve">2. Recibió un aumento de la certificación Texas Rising Star después de que se calculó su premio y antes del 31 de octubre de 2022; y/o </w:t>
      </w:r>
    </w:p>
    <w:p w14:paraId="235DE96E" w14:textId="77777777" w:rsidR="00745F60" w:rsidRPr="0067713F" w:rsidRDefault="00745F60" w:rsidP="00B602FE">
      <w:pPr>
        <w:ind w:left="1440"/>
        <w:rPr>
          <w:shd w:val="clear" w:color="auto" w:fill="D2E3FC"/>
          <w:lang w:val="es-ES"/>
        </w:rPr>
      </w:pPr>
      <w:r w:rsidRPr="00B602FE">
        <w:rPr>
          <w:lang w:val="es-ES"/>
        </w:rPr>
        <w:t xml:space="preserve">3. Obtuvo la certificación Texas Rising Star después de que se calculó su premio y envió su formulario de interés para participar antes del 31 de mayo de 2022. </w:t>
      </w:r>
    </w:p>
    <w:p w14:paraId="64D0DFE6" w14:textId="77777777" w:rsidR="00745F60" w:rsidRPr="0067713F" w:rsidRDefault="00745F60" w:rsidP="000462B9">
      <w:pPr>
        <w:spacing w:line="420" w:lineRule="atLeast"/>
        <w:ind w:left="720"/>
        <w:rPr>
          <w:rFonts w:eastAsia="Times New Roman" w:cstheme="minorHAnsi"/>
          <w:color w:val="000000"/>
          <w:shd w:val="clear" w:color="auto" w:fill="D2E3FC"/>
          <w:lang w:val="es-ES"/>
        </w:rPr>
      </w:pPr>
    </w:p>
    <w:p w14:paraId="0E6B3BBB" w14:textId="5BB83487" w:rsidR="00FA0A42" w:rsidRPr="0067713F" w:rsidRDefault="00745F60" w:rsidP="000462B9">
      <w:pPr>
        <w:tabs>
          <w:tab w:val="left" w:pos="810"/>
        </w:tabs>
        <w:spacing w:line="420" w:lineRule="atLeast"/>
        <w:ind w:left="720" w:hanging="270"/>
        <w:rPr>
          <w:rFonts w:eastAsia="Times New Roman" w:cstheme="minorHAnsi"/>
          <w:color w:val="000000"/>
          <w:shd w:val="clear" w:color="auto" w:fill="D2E3FC"/>
          <w:lang w:val="es-ES"/>
        </w:rPr>
      </w:pPr>
      <w:r w:rsidRPr="00B602FE">
        <w:rPr>
          <w:rFonts w:eastAsia="Times New Roman" w:cstheme="minorHAnsi"/>
          <w:b/>
          <w:bCs/>
          <w:color w:val="000000"/>
          <w:lang w:val="es-ES"/>
        </w:rPr>
        <w:t>2. ¿Cuándo se emitirán los montos de adjudicación CCRF actualizados para 2022?</w:t>
      </w:r>
      <w:r w:rsidRPr="0067713F">
        <w:rPr>
          <w:rFonts w:eastAsia="Times New Roman" w:cstheme="minorHAnsi"/>
          <w:color w:val="000000"/>
          <w:shd w:val="clear" w:color="auto" w:fill="D2E3FC"/>
          <w:lang w:val="es-ES"/>
        </w:rPr>
        <w:t xml:space="preserve"> </w:t>
      </w:r>
    </w:p>
    <w:p w14:paraId="3C2A6A93" w14:textId="738384E4" w:rsidR="00745F60" w:rsidRPr="0067713F" w:rsidRDefault="00745F60" w:rsidP="00B602FE">
      <w:pPr>
        <w:ind w:left="720"/>
        <w:rPr>
          <w:shd w:val="clear" w:color="auto" w:fill="D2E3FC"/>
          <w:lang w:val="es-ES"/>
        </w:rPr>
      </w:pPr>
      <w:r w:rsidRPr="00B602FE">
        <w:rPr>
          <w:lang w:val="es-ES"/>
        </w:rPr>
        <w:t>Los proveedores que cumplan con al menos uno de los criterios de la Pregunta 1 y continúen siendo elegibles para el CCRF de 2022 verán que el monto total de su</w:t>
      </w:r>
      <w:r w:rsidRPr="0067713F">
        <w:rPr>
          <w:shd w:val="clear" w:color="auto" w:fill="D2E3FC"/>
          <w:lang w:val="es-ES"/>
        </w:rPr>
        <w:t xml:space="preserve"> </w:t>
      </w:r>
      <w:r w:rsidRPr="00B602FE">
        <w:rPr>
          <w:lang w:val="es-ES"/>
        </w:rPr>
        <w:t>adjudicación aumenta automáticamente en el invierno de 2023. No es necesario que vuelva a solicitar el programa ni que presente ninguna documentación adicional para ser elegible para un monto de financiamiento actualizado. El aumento en el monto</w:t>
      </w:r>
      <w:r w:rsidRPr="0067713F">
        <w:rPr>
          <w:shd w:val="clear" w:color="auto" w:fill="D2E3FC"/>
          <w:lang w:val="es-ES"/>
        </w:rPr>
        <w:t xml:space="preserve"> </w:t>
      </w:r>
      <w:r w:rsidRPr="00B602FE">
        <w:rPr>
          <w:lang w:val="es-ES"/>
        </w:rPr>
        <w:t>total de su premio se reflejará en su portal CCRF cerca de fin de año y, para la mayoría de los proveedores, su saldo se enviará en su cuarto pago trimestral.</w:t>
      </w:r>
    </w:p>
    <w:p w14:paraId="42475215" w14:textId="77777777" w:rsidR="00745F60" w:rsidRPr="0067713F" w:rsidRDefault="00745F60" w:rsidP="00B602FE">
      <w:pPr>
        <w:rPr>
          <w:shd w:val="clear" w:color="auto" w:fill="D2E3FC"/>
          <w:lang w:val="es-ES"/>
        </w:rPr>
      </w:pPr>
    </w:p>
    <w:p w14:paraId="2914437A" w14:textId="77777777" w:rsidR="00B602FE" w:rsidRPr="00B602FE" w:rsidRDefault="00745F60" w:rsidP="000462B9">
      <w:pPr>
        <w:pStyle w:val="ListParagraph"/>
        <w:numPr>
          <w:ilvl w:val="0"/>
          <w:numId w:val="11"/>
        </w:numPr>
        <w:spacing w:line="420" w:lineRule="atLeast"/>
        <w:ind w:left="810"/>
      </w:pPr>
      <w:r w:rsidRPr="00B602FE">
        <w:rPr>
          <w:rFonts w:eastAsia="Times New Roman" w:cstheme="minorHAnsi"/>
          <w:b/>
          <w:bCs/>
          <w:color w:val="000000"/>
          <w:lang w:val="es-ES"/>
        </w:rPr>
        <w:t>Creo que soy elegible para una cantidad actualizada. ¿Cuánto más dinero recibiré?</w:t>
      </w:r>
      <w:r w:rsidRPr="00B602FE">
        <w:rPr>
          <w:rFonts w:eastAsia="Times New Roman" w:cstheme="minorHAnsi"/>
          <w:color w:val="000000"/>
          <w:lang w:val="es-ES"/>
        </w:rPr>
        <w:t xml:space="preserve"> </w:t>
      </w:r>
    </w:p>
    <w:p w14:paraId="4524D0D0" w14:textId="46398E48" w:rsidR="00745F60" w:rsidRPr="00BE6E69" w:rsidRDefault="00745F60" w:rsidP="00373173">
      <w:pPr>
        <w:ind w:left="720"/>
        <w:rPr>
          <w:lang w:val="es-ES"/>
        </w:rPr>
      </w:pPr>
      <w:r w:rsidRPr="00B602FE">
        <w:rPr>
          <w:rFonts w:eastAsia="Times New Roman" w:cstheme="minorHAnsi"/>
          <w:color w:val="000000"/>
          <w:lang w:val="es-ES"/>
        </w:rPr>
        <w:t>A</w:t>
      </w:r>
      <w:r w:rsidRPr="00373173">
        <w:rPr>
          <w:rFonts w:eastAsia="Times New Roman" w:cstheme="minorHAnsi"/>
          <w:color w:val="000000"/>
          <w:lang w:val="es-ES"/>
        </w:rPr>
        <w:t xml:space="preserve"> </w:t>
      </w:r>
      <w:r w:rsidRPr="00BE6E69">
        <w:rPr>
          <w:lang w:val="es-ES"/>
        </w:rPr>
        <w:t xml:space="preserve">los proveedores elegibles para un monto de adjudicación CCRF actualizado de 2022 se les volverá a calcular el monto total de su adjudicación para incluir cualquier financiamiento adicional para el que sean elegibles, y que no se incluyó en su cálculo de </w:t>
      </w:r>
      <w:r w:rsidRPr="00BE6E69">
        <w:rPr>
          <w:lang w:val="es-ES"/>
        </w:rPr>
        <w:lastRenderedPageBreak/>
        <w:t xml:space="preserve">financiamiento original. El porcentaje adicional a sus niveles de financiación calculados originalmente es: Cantidad mejorada de la certificación Texas Rising Star: </w:t>
      </w:r>
    </w:p>
    <w:p w14:paraId="306B8598" w14:textId="77777777" w:rsidR="00745F60" w:rsidRPr="0067713F" w:rsidRDefault="00745F60" w:rsidP="00373173">
      <w:pPr>
        <w:ind w:left="720" w:firstLine="720"/>
        <w:rPr>
          <w:rFonts w:eastAsia="Times New Roman" w:cstheme="minorHAnsi"/>
          <w:color w:val="000000"/>
          <w:shd w:val="clear" w:color="auto" w:fill="D2E3FC"/>
          <w:lang w:val="es-ES"/>
        </w:rPr>
      </w:pPr>
      <w:r w:rsidRPr="0039687D">
        <w:rPr>
          <w:rFonts w:eastAsia="Times New Roman" w:cstheme="minorHAnsi"/>
          <w:color w:val="000000"/>
          <w:lang w:val="es-ES"/>
        </w:rPr>
        <w:t>• Texas Rising Star Dos Estrellas: 13%</w:t>
      </w:r>
      <w:r w:rsidRPr="0067713F">
        <w:rPr>
          <w:rFonts w:eastAsia="Times New Roman" w:cstheme="minorHAnsi"/>
          <w:color w:val="000000"/>
          <w:shd w:val="clear" w:color="auto" w:fill="D2E3FC"/>
          <w:lang w:val="es-ES"/>
        </w:rPr>
        <w:t xml:space="preserve"> </w:t>
      </w:r>
    </w:p>
    <w:p w14:paraId="27F0DD61" w14:textId="77777777" w:rsidR="00745F60" w:rsidRPr="0067713F" w:rsidRDefault="00745F60" w:rsidP="00373173">
      <w:pPr>
        <w:ind w:left="720" w:firstLine="720"/>
        <w:rPr>
          <w:rFonts w:eastAsia="Times New Roman" w:cstheme="minorHAnsi"/>
          <w:color w:val="000000"/>
          <w:shd w:val="clear" w:color="auto" w:fill="D2E3FC"/>
          <w:lang w:val="es-ES"/>
        </w:rPr>
      </w:pPr>
      <w:r w:rsidRPr="0039687D">
        <w:rPr>
          <w:rFonts w:eastAsia="Times New Roman" w:cstheme="minorHAnsi"/>
          <w:color w:val="000000"/>
          <w:lang w:val="es-ES"/>
        </w:rPr>
        <w:t>• Texas Rising Star Tres Estrellas: 25%</w:t>
      </w:r>
      <w:r w:rsidRPr="0067713F">
        <w:rPr>
          <w:rFonts w:eastAsia="Times New Roman" w:cstheme="minorHAnsi"/>
          <w:color w:val="000000"/>
          <w:shd w:val="clear" w:color="auto" w:fill="D2E3FC"/>
          <w:lang w:val="es-ES"/>
        </w:rPr>
        <w:t xml:space="preserve"> </w:t>
      </w:r>
    </w:p>
    <w:p w14:paraId="5E699ED0" w14:textId="77777777" w:rsidR="00745F60" w:rsidRPr="0067713F" w:rsidRDefault="00745F60" w:rsidP="00373173">
      <w:pPr>
        <w:ind w:left="720" w:firstLine="720"/>
        <w:rPr>
          <w:rFonts w:eastAsia="Times New Roman" w:cstheme="minorHAnsi"/>
          <w:color w:val="000000"/>
          <w:shd w:val="clear" w:color="auto" w:fill="D2E3FC"/>
          <w:lang w:val="es-ES"/>
        </w:rPr>
      </w:pPr>
      <w:r w:rsidRPr="0039687D">
        <w:rPr>
          <w:rFonts w:eastAsia="Times New Roman" w:cstheme="minorHAnsi"/>
          <w:color w:val="000000"/>
          <w:lang w:val="es-ES"/>
        </w:rPr>
        <w:t>• Texas Rising Star Cuatro Estrellas: 38%</w:t>
      </w:r>
      <w:r w:rsidRPr="0067713F">
        <w:rPr>
          <w:rFonts w:eastAsia="Times New Roman" w:cstheme="minorHAnsi"/>
          <w:color w:val="000000"/>
          <w:shd w:val="clear" w:color="auto" w:fill="D2E3FC"/>
          <w:lang w:val="es-ES"/>
        </w:rPr>
        <w:t xml:space="preserve"> </w:t>
      </w:r>
    </w:p>
    <w:p w14:paraId="14FE83D5" w14:textId="77777777" w:rsidR="00745F60" w:rsidRPr="0067713F" w:rsidRDefault="00745F60" w:rsidP="00B602FE">
      <w:pPr>
        <w:rPr>
          <w:rFonts w:eastAsia="Times New Roman" w:cstheme="minorHAnsi"/>
          <w:color w:val="000000"/>
          <w:shd w:val="clear" w:color="auto" w:fill="D2E3FC"/>
          <w:lang w:val="es-ES"/>
        </w:rPr>
      </w:pPr>
    </w:p>
    <w:p w14:paraId="031435EF" w14:textId="77777777" w:rsidR="00745F60" w:rsidRPr="0067713F" w:rsidRDefault="00745F60" w:rsidP="00373173">
      <w:pPr>
        <w:ind w:left="720"/>
        <w:rPr>
          <w:rFonts w:eastAsia="Times New Roman" w:cstheme="minorHAnsi"/>
          <w:color w:val="000000"/>
          <w:shd w:val="clear" w:color="auto" w:fill="D2E3FC"/>
          <w:lang w:val="es-ES"/>
        </w:rPr>
      </w:pPr>
      <w:r w:rsidRPr="00B602FE">
        <w:rPr>
          <w:rFonts w:eastAsia="Times New Roman" w:cstheme="minorHAnsi"/>
          <w:color w:val="000000"/>
          <w:lang w:val="es-ES"/>
        </w:rPr>
        <w:t>Cantidad mejorada de Child Care Desert: 10% Si cumple con dos de esos criterios, recibirá ambos montos de fondos adicionales. En la Sección de Financiamiento se incluyen más detalles sobre cómo se calculan las tasas base y la financiación mejorada.</w:t>
      </w:r>
      <w:r w:rsidRPr="0067713F">
        <w:rPr>
          <w:rFonts w:eastAsia="Times New Roman" w:cstheme="minorHAnsi"/>
          <w:color w:val="000000"/>
          <w:shd w:val="clear" w:color="auto" w:fill="D2E3FC"/>
          <w:lang w:val="es-ES"/>
        </w:rPr>
        <w:t xml:space="preserve"> </w:t>
      </w:r>
    </w:p>
    <w:p w14:paraId="3965C41A" w14:textId="77777777" w:rsidR="00745F60" w:rsidRDefault="00745F60" w:rsidP="00373173">
      <w:pPr>
        <w:ind w:left="720"/>
        <w:rPr>
          <w:rFonts w:eastAsia="Times New Roman" w:cstheme="minorHAnsi"/>
          <w:color w:val="000000"/>
          <w:shd w:val="clear" w:color="auto" w:fill="D2E3FC"/>
          <w:lang w:val="es-ES"/>
        </w:rPr>
      </w:pPr>
      <w:r w:rsidRPr="00B602FE">
        <w:rPr>
          <w:rFonts w:eastAsia="Times New Roman" w:cstheme="minorHAnsi"/>
          <w:color w:val="000000"/>
          <w:lang w:val="es-ES"/>
        </w:rPr>
        <w:t>Cualquier financiamiento adicional se agregará automáticamente al monto total de su premio y se incluirá en sus pagos CCRF restantes de 2022. El monto se actualizará</w:t>
      </w:r>
      <w:r w:rsidRPr="0067713F">
        <w:rPr>
          <w:rFonts w:eastAsia="Times New Roman" w:cstheme="minorHAnsi"/>
          <w:color w:val="000000"/>
          <w:shd w:val="clear" w:color="auto" w:fill="D2E3FC"/>
          <w:lang w:val="es-ES"/>
        </w:rPr>
        <w:t xml:space="preserve"> </w:t>
      </w:r>
      <w:r w:rsidRPr="00B602FE">
        <w:rPr>
          <w:rFonts w:eastAsia="Times New Roman" w:cstheme="minorHAnsi"/>
          <w:color w:val="000000"/>
          <w:lang w:val="es-ES"/>
        </w:rPr>
        <w:t>automáticamente en su portal CCRF invierno de 2023.</w:t>
      </w:r>
      <w:r w:rsidRPr="0067713F">
        <w:rPr>
          <w:rFonts w:eastAsia="Times New Roman" w:cstheme="minorHAnsi"/>
          <w:color w:val="000000"/>
          <w:shd w:val="clear" w:color="auto" w:fill="D2E3FC"/>
          <w:lang w:val="es-ES"/>
        </w:rPr>
        <w:t xml:space="preserve"> </w:t>
      </w:r>
    </w:p>
    <w:p w14:paraId="1F8DAB4D" w14:textId="77777777" w:rsidR="00343CB5" w:rsidRPr="0067713F" w:rsidRDefault="00343CB5" w:rsidP="00373173">
      <w:pPr>
        <w:ind w:left="720"/>
        <w:rPr>
          <w:rFonts w:eastAsia="Times New Roman" w:cstheme="minorHAnsi"/>
          <w:color w:val="000000"/>
          <w:shd w:val="clear" w:color="auto" w:fill="D2E3FC"/>
          <w:lang w:val="es-ES"/>
        </w:rPr>
      </w:pPr>
    </w:p>
    <w:p w14:paraId="01F8DD2E" w14:textId="77777777" w:rsidR="00373173" w:rsidRPr="00373173" w:rsidRDefault="00745F60" w:rsidP="000462B9">
      <w:pPr>
        <w:pStyle w:val="ListParagraph"/>
        <w:numPr>
          <w:ilvl w:val="0"/>
          <w:numId w:val="11"/>
        </w:numPr>
        <w:spacing w:line="420" w:lineRule="atLeast"/>
        <w:ind w:left="810" w:hanging="270"/>
        <w:rPr>
          <w:rFonts w:eastAsia="Times New Roman" w:cstheme="minorHAnsi"/>
          <w:color w:val="000000"/>
          <w:shd w:val="clear" w:color="auto" w:fill="D2E3FC"/>
          <w:lang w:val="es-ES"/>
        </w:rPr>
      </w:pPr>
      <w:r w:rsidRPr="00373173">
        <w:rPr>
          <w:rFonts w:eastAsia="Times New Roman" w:cstheme="minorHAnsi"/>
          <w:b/>
          <w:bCs/>
          <w:color w:val="000000"/>
          <w:lang w:val="es-ES"/>
        </w:rPr>
        <w:t>¿</w:t>
      </w:r>
      <w:r w:rsidRPr="000462B9">
        <w:rPr>
          <w:rFonts w:eastAsia="Times New Roman" w:cstheme="minorHAnsi"/>
          <w:b/>
          <w:bCs/>
          <w:color w:val="000000"/>
          <w:lang w:val="es-ES"/>
        </w:rPr>
        <w:t>Tengo que presentar una solicitud para recibir financiación actualizada?</w:t>
      </w:r>
      <w:r w:rsidRPr="000462B9">
        <w:rPr>
          <w:rFonts w:eastAsia="Times New Roman" w:cstheme="minorHAnsi"/>
          <w:color w:val="000000"/>
          <w:lang w:val="es-ES"/>
        </w:rPr>
        <w:t xml:space="preserve"> </w:t>
      </w:r>
    </w:p>
    <w:p w14:paraId="5A72C815" w14:textId="47617CAD" w:rsidR="00745F60" w:rsidRPr="00373173" w:rsidRDefault="00745F60" w:rsidP="00373173">
      <w:pPr>
        <w:ind w:left="720"/>
        <w:rPr>
          <w:shd w:val="clear" w:color="auto" w:fill="D2E3FC"/>
          <w:lang w:val="es-ES"/>
        </w:rPr>
      </w:pPr>
      <w:r w:rsidRPr="00373173">
        <w:rPr>
          <w:lang w:val="es-ES"/>
        </w:rPr>
        <w:t>No, los proveedores no tienen que presentar una solicitud o enviar documentación adicional para recibir un monto de adjudicación CCRF actualizado para 2022. A los proveedores elegibles se les recalculará automáticamente el monto de su premio CCRF. El cambio en el monto total de su premio se reflejará en su portal CCRF en el invierno de 2023 y se incluirán fondos adicionales en su pago restante, que para la mayoría de los proveedores será su cuarto pago.</w:t>
      </w:r>
      <w:r w:rsidRPr="00373173">
        <w:rPr>
          <w:shd w:val="clear" w:color="auto" w:fill="D2E3FC"/>
          <w:lang w:val="es-ES"/>
        </w:rPr>
        <w:t xml:space="preserve"> </w:t>
      </w:r>
    </w:p>
    <w:p w14:paraId="0072B329" w14:textId="77777777" w:rsidR="00745F60" w:rsidRPr="00BE6E69" w:rsidRDefault="00745F60" w:rsidP="00373173">
      <w:pPr>
        <w:rPr>
          <w:lang w:val="es-ES"/>
        </w:rPr>
      </w:pPr>
    </w:p>
    <w:p w14:paraId="4B4FE417" w14:textId="77777777" w:rsidR="00745F60" w:rsidRPr="0067713F" w:rsidRDefault="00745F60" w:rsidP="000462B9">
      <w:pPr>
        <w:pStyle w:val="Heading1"/>
        <w:rPr>
          <w:rFonts w:cstheme="majorHAnsi"/>
          <w:sz w:val="28"/>
          <w:szCs w:val="28"/>
          <w:shd w:val="clear" w:color="auto" w:fill="D2E3FC"/>
          <w:lang w:val="es-ES"/>
        </w:rPr>
      </w:pPr>
      <w:r w:rsidRPr="000462B9">
        <w:rPr>
          <w:rFonts w:cstheme="majorHAnsi"/>
          <w:sz w:val="28"/>
          <w:szCs w:val="28"/>
          <w:lang w:val="es-ES"/>
        </w:rPr>
        <w:t>2022 CCRF</w:t>
      </w:r>
      <w:r w:rsidRPr="00B602FE">
        <w:rPr>
          <w:rFonts w:cstheme="majorHAnsi"/>
          <w:sz w:val="28"/>
          <w:szCs w:val="28"/>
          <w:lang w:val="es-ES"/>
        </w:rPr>
        <w:t xml:space="preserve"> </w:t>
      </w:r>
      <w:r w:rsidRPr="000462B9">
        <w:rPr>
          <w:rFonts w:cstheme="majorHAnsi"/>
          <w:sz w:val="28"/>
          <w:szCs w:val="28"/>
          <w:lang w:val="es-ES"/>
        </w:rPr>
        <w:t>5.º Pagos</w:t>
      </w:r>
      <w:r w:rsidRPr="0067713F">
        <w:rPr>
          <w:rFonts w:cstheme="majorHAnsi"/>
          <w:sz w:val="28"/>
          <w:szCs w:val="28"/>
          <w:shd w:val="clear" w:color="auto" w:fill="D2E3FC"/>
          <w:lang w:val="es-ES"/>
        </w:rPr>
        <w:t xml:space="preserve"> </w:t>
      </w:r>
    </w:p>
    <w:p w14:paraId="52EE2909" w14:textId="77777777" w:rsidR="00745F60" w:rsidRPr="0067713F" w:rsidRDefault="00745F60" w:rsidP="000462B9">
      <w:pPr>
        <w:pStyle w:val="ListParagraph"/>
        <w:numPr>
          <w:ilvl w:val="0"/>
          <w:numId w:val="17"/>
        </w:numPr>
        <w:spacing w:line="420" w:lineRule="atLeast"/>
        <w:rPr>
          <w:rFonts w:eastAsia="Times New Roman" w:cstheme="minorHAnsi"/>
          <w:b/>
          <w:bCs/>
          <w:color w:val="000000"/>
          <w:shd w:val="clear" w:color="auto" w:fill="D2E3FC"/>
          <w:lang w:val="es-ES"/>
        </w:rPr>
      </w:pPr>
      <w:r w:rsidRPr="000462B9">
        <w:rPr>
          <w:rFonts w:eastAsia="Times New Roman" w:cstheme="minorHAnsi"/>
          <w:b/>
          <w:bCs/>
          <w:color w:val="000000"/>
          <w:lang w:val="es-ES"/>
        </w:rPr>
        <w:t>¿Quién es</w:t>
      </w:r>
      <w:r w:rsidRPr="00B602FE">
        <w:rPr>
          <w:rFonts w:eastAsia="Times New Roman" w:cstheme="minorHAnsi"/>
          <w:b/>
          <w:bCs/>
          <w:color w:val="000000"/>
          <w:lang w:val="es-ES"/>
        </w:rPr>
        <w:t xml:space="preserve"> </w:t>
      </w:r>
      <w:r w:rsidRPr="000462B9">
        <w:rPr>
          <w:rFonts w:eastAsia="Times New Roman" w:cstheme="minorHAnsi"/>
          <w:b/>
          <w:bCs/>
          <w:color w:val="000000"/>
          <w:lang w:val="es-ES"/>
        </w:rPr>
        <w:t>elegible para recibir un quinto pago CCRF de 2022?</w:t>
      </w:r>
      <w:r w:rsidRPr="0067713F">
        <w:rPr>
          <w:rFonts w:eastAsia="Times New Roman" w:cstheme="minorHAnsi"/>
          <w:b/>
          <w:bCs/>
          <w:color w:val="000000"/>
          <w:shd w:val="clear" w:color="auto" w:fill="D2E3FC"/>
          <w:lang w:val="es-ES"/>
        </w:rPr>
        <w:t xml:space="preserve"> </w:t>
      </w:r>
    </w:p>
    <w:p w14:paraId="15A92C0B" w14:textId="39C46EED" w:rsidR="00745F60" w:rsidRPr="0067713F" w:rsidRDefault="00745F60" w:rsidP="00373173">
      <w:pPr>
        <w:ind w:left="810"/>
        <w:rPr>
          <w:shd w:val="clear" w:color="auto" w:fill="D2E3FC"/>
          <w:lang w:val="es-ES"/>
        </w:rPr>
      </w:pPr>
      <w:r w:rsidRPr="00B602FE">
        <w:rPr>
          <w:lang w:val="es-ES"/>
        </w:rPr>
        <w:t>Los proveedores serán elegibles para recibir un quinto pago CCRF si tuvieron una</w:t>
      </w:r>
      <w:r w:rsidRPr="0067713F">
        <w:rPr>
          <w:shd w:val="clear" w:color="auto" w:fill="D2E3FC"/>
          <w:lang w:val="es-ES"/>
        </w:rPr>
        <w:t xml:space="preserve"> </w:t>
      </w:r>
      <w:r w:rsidRPr="00B602FE">
        <w:rPr>
          <w:lang w:val="es-ES"/>
        </w:rPr>
        <w:t xml:space="preserve">remisión de Child Care Subsidy (CCS) entre el </w:t>
      </w:r>
      <w:r w:rsidR="009277F3" w:rsidRPr="00B602FE">
        <w:rPr>
          <w:lang w:val="es-ES"/>
        </w:rPr>
        <w:t xml:space="preserve">6 </w:t>
      </w:r>
      <w:r w:rsidR="00C01D50" w:rsidRPr="00B602FE">
        <w:rPr>
          <w:lang w:val="es-ES"/>
        </w:rPr>
        <w:t>de enero de 2021 y el 30 de</w:t>
      </w:r>
      <w:r w:rsidR="00C01D50" w:rsidRPr="0067713F">
        <w:rPr>
          <w:shd w:val="clear" w:color="auto" w:fill="D2E3FC"/>
          <w:lang w:val="es-ES"/>
        </w:rPr>
        <w:t xml:space="preserve"> </w:t>
      </w:r>
      <w:r w:rsidR="00C01D50" w:rsidRPr="00B602FE">
        <w:rPr>
          <w:lang w:val="es-ES"/>
        </w:rPr>
        <w:t>noviembre de 2022</w:t>
      </w:r>
      <w:r w:rsidRPr="00B602FE">
        <w:rPr>
          <w:lang w:val="es-ES"/>
        </w:rPr>
        <w:t>, siguen siendo elegibles para el CCRF 2022 y están participando</w:t>
      </w:r>
      <w:r w:rsidRPr="0067713F">
        <w:rPr>
          <w:shd w:val="clear" w:color="auto" w:fill="D2E3FC"/>
          <w:lang w:val="es-ES"/>
        </w:rPr>
        <w:t xml:space="preserve"> </w:t>
      </w:r>
      <w:r w:rsidRPr="00B602FE">
        <w:rPr>
          <w:lang w:val="es-ES"/>
        </w:rPr>
        <w:t>en el programa CCS en el momento del 5º pago (verano de 2023). Los proveedores</w:t>
      </w:r>
      <w:r w:rsidRPr="0067713F">
        <w:rPr>
          <w:shd w:val="clear" w:color="auto" w:fill="D2E3FC"/>
          <w:lang w:val="es-ES"/>
        </w:rPr>
        <w:t xml:space="preserve"> </w:t>
      </w:r>
      <w:r w:rsidRPr="00B602FE">
        <w:rPr>
          <w:lang w:val="es-ES"/>
        </w:rPr>
        <w:t>que cumplan con los criterios de elegibilidad recibirán automáticamente este quinto</w:t>
      </w:r>
      <w:r w:rsidRPr="0067713F">
        <w:rPr>
          <w:shd w:val="clear" w:color="auto" w:fill="D2E3FC"/>
          <w:lang w:val="es-ES"/>
        </w:rPr>
        <w:t xml:space="preserve"> </w:t>
      </w:r>
      <w:r w:rsidRPr="00B602FE">
        <w:rPr>
          <w:lang w:val="es-ES"/>
        </w:rPr>
        <w:t>pago en el verano de 2023 y no es necesario que vuelvan a presentar una solicitud.</w:t>
      </w:r>
      <w:r w:rsidRPr="0067713F">
        <w:rPr>
          <w:shd w:val="clear" w:color="auto" w:fill="D2E3FC"/>
          <w:lang w:val="es-ES"/>
        </w:rPr>
        <w:t xml:space="preserve"> </w:t>
      </w:r>
      <w:r w:rsidRPr="00B602FE">
        <w:rPr>
          <w:lang w:val="es-ES"/>
        </w:rPr>
        <w:t>Los proveedores tendrán hasta el 30 de noviembre de 2023 para gastar la totalidad</w:t>
      </w:r>
      <w:r w:rsidRPr="0067713F">
        <w:rPr>
          <w:shd w:val="clear" w:color="auto" w:fill="D2E3FC"/>
          <w:lang w:val="es-ES"/>
        </w:rPr>
        <w:t xml:space="preserve"> </w:t>
      </w:r>
      <w:r w:rsidRPr="00B602FE">
        <w:rPr>
          <w:lang w:val="es-ES"/>
        </w:rPr>
        <w:t>de su premio CCRF 2022.</w:t>
      </w:r>
      <w:r w:rsidRPr="0067713F">
        <w:rPr>
          <w:shd w:val="clear" w:color="auto" w:fill="D2E3FC"/>
          <w:lang w:val="es-ES"/>
        </w:rPr>
        <w:t xml:space="preserve"> </w:t>
      </w:r>
    </w:p>
    <w:p w14:paraId="160B5972" w14:textId="77777777" w:rsidR="00745F60" w:rsidRPr="0067713F" w:rsidRDefault="00745F60" w:rsidP="000462B9">
      <w:pPr>
        <w:spacing w:line="420" w:lineRule="atLeast"/>
        <w:ind w:left="720"/>
        <w:rPr>
          <w:rFonts w:eastAsia="Times New Roman" w:cstheme="minorHAnsi"/>
          <w:color w:val="000000"/>
          <w:shd w:val="clear" w:color="auto" w:fill="D2E3FC"/>
          <w:lang w:val="es-ES"/>
        </w:rPr>
      </w:pPr>
    </w:p>
    <w:p w14:paraId="4C732DC6" w14:textId="62C499F1" w:rsidR="00745F60" w:rsidRPr="0067713F" w:rsidRDefault="00745F60" w:rsidP="00343CB5">
      <w:pPr>
        <w:pStyle w:val="ListParagraph"/>
        <w:numPr>
          <w:ilvl w:val="0"/>
          <w:numId w:val="17"/>
        </w:numPr>
        <w:spacing w:line="420" w:lineRule="atLeast"/>
        <w:ind w:left="900" w:hanging="270"/>
        <w:rPr>
          <w:rFonts w:eastAsia="Times New Roman" w:cstheme="minorHAnsi"/>
          <w:b/>
          <w:bCs/>
          <w:color w:val="000000"/>
          <w:shd w:val="clear" w:color="auto" w:fill="D2E3FC"/>
          <w:lang w:val="es-ES"/>
        </w:rPr>
      </w:pPr>
      <w:r w:rsidRPr="00B602FE">
        <w:rPr>
          <w:rFonts w:eastAsia="Times New Roman" w:cstheme="minorHAnsi"/>
          <w:b/>
          <w:bCs/>
          <w:color w:val="000000"/>
          <w:lang w:val="es-ES"/>
        </w:rPr>
        <w:t>¿A cuánto ascenderá el pago del 5º CCRF de 2022?</w:t>
      </w:r>
      <w:r w:rsidRPr="0067713F">
        <w:rPr>
          <w:rFonts w:eastAsia="Times New Roman" w:cstheme="minorHAnsi"/>
          <w:b/>
          <w:bCs/>
          <w:color w:val="000000"/>
          <w:shd w:val="clear" w:color="auto" w:fill="D2E3FC"/>
          <w:lang w:val="es-ES"/>
        </w:rPr>
        <w:t xml:space="preserve"> </w:t>
      </w:r>
    </w:p>
    <w:p w14:paraId="79AFEA14" w14:textId="77777777" w:rsidR="00745F60" w:rsidRPr="0067713F" w:rsidRDefault="00745F60" w:rsidP="00373173">
      <w:pPr>
        <w:ind w:left="990"/>
        <w:rPr>
          <w:shd w:val="clear" w:color="auto" w:fill="D2E3FC"/>
          <w:lang w:val="es-ES"/>
        </w:rPr>
      </w:pPr>
      <w:r w:rsidRPr="00B602FE">
        <w:rPr>
          <w:lang w:val="es-ES"/>
        </w:rPr>
        <w:t>El quinto pago será igual a una cuarta parte de su monto total aprobado para el</w:t>
      </w:r>
      <w:r w:rsidRPr="00373173">
        <w:rPr>
          <w:lang w:val="es-ES"/>
        </w:rPr>
        <w:t xml:space="preserve"> </w:t>
      </w:r>
      <w:r w:rsidRPr="00B602FE">
        <w:rPr>
          <w:lang w:val="es-ES"/>
        </w:rPr>
        <w:t>CCRF de 2022. Puede encontrar su monto total aprobado iniciando sesión en su</w:t>
      </w:r>
      <w:r w:rsidRPr="00373173">
        <w:rPr>
          <w:lang w:val="es-ES"/>
        </w:rPr>
        <w:t xml:space="preserve"> </w:t>
      </w:r>
      <w:r w:rsidRPr="00B602FE">
        <w:rPr>
          <w:lang w:val="es-ES"/>
        </w:rPr>
        <w:t>portal de solicitud CCRF. Si reúne los requisitos para recibir un monto de</w:t>
      </w:r>
      <w:r w:rsidRPr="00373173">
        <w:rPr>
          <w:lang w:val="es-ES"/>
        </w:rPr>
        <w:t xml:space="preserve"> </w:t>
      </w:r>
      <w:r w:rsidRPr="00B602FE">
        <w:rPr>
          <w:lang w:val="es-ES"/>
        </w:rPr>
        <w:t>adjudicación total actualizado, su quinto pago se calculará en función de este monto</w:t>
      </w:r>
      <w:r w:rsidRPr="00373173">
        <w:rPr>
          <w:lang w:val="es-ES"/>
        </w:rPr>
        <w:t xml:space="preserve"> </w:t>
      </w:r>
      <w:r w:rsidRPr="00B602FE">
        <w:rPr>
          <w:lang w:val="es-ES"/>
        </w:rPr>
        <w:t>de adjudicación total actualizado. Consulte la sección "Cantidades de adjudicación</w:t>
      </w:r>
      <w:r w:rsidRPr="00373173">
        <w:rPr>
          <w:lang w:val="es-ES"/>
        </w:rPr>
        <w:t xml:space="preserve"> </w:t>
      </w:r>
      <w:r w:rsidRPr="00B602FE">
        <w:rPr>
          <w:lang w:val="es-ES"/>
        </w:rPr>
        <w:t>CCRF actualizadas para 2022" para obtener más información.</w:t>
      </w:r>
      <w:r w:rsidRPr="0067713F">
        <w:rPr>
          <w:shd w:val="clear" w:color="auto" w:fill="D2E3FC"/>
          <w:lang w:val="es-ES"/>
        </w:rPr>
        <w:t xml:space="preserve"> </w:t>
      </w:r>
    </w:p>
    <w:p w14:paraId="6CB409B5" w14:textId="77777777" w:rsidR="00745F60" w:rsidRPr="0067713F" w:rsidRDefault="00745F60" w:rsidP="000462B9">
      <w:pPr>
        <w:spacing w:line="420" w:lineRule="atLeast"/>
        <w:ind w:left="720"/>
        <w:rPr>
          <w:rFonts w:eastAsia="Times New Roman" w:cstheme="minorHAnsi"/>
          <w:color w:val="000000"/>
          <w:shd w:val="clear" w:color="auto" w:fill="D2E3FC"/>
          <w:lang w:val="es-ES"/>
        </w:rPr>
      </w:pPr>
    </w:p>
    <w:p w14:paraId="51E55C1D" w14:textId="77777777" w:rsidR="00745F60" w:rsidRPr="0067713F" w:rsidRDefault="00745F60" w:rsidP="00B602FE">
      <w:pPr>
        <w:pStyle w:val="ListParagraph"/>
        <w:numPr>
          <w:ilvl w:val="0"/>
          <w:numId w:val="17"/>
        </w:numPr>
        <w:spacing w:line="420" w:lineRule="atLeast"/>
        <w:ind w:left="990"/>
        <w:rPr>
          <w:rFonts w:eastAsia="Times New Roman" w:cstheme="minorHAnsi"/>
          <w:b/>
          <w:bCs/>
          <w:color w:val="000000"/>
          <w:shd w:val="clear" w:color="auto" w:fill="D2E3FC"/>
          <w:lang w:val="es-ES"/>
        </w:rPr>
      </w:pPr>
      <w:r w:rsidRPr="00B602FE">
        <w:rPr>
          <w:rFonts w:eastAsia="Times New Roman" w:cstheme="minorHAnsi"/>
          <w:b/>
          <w:bCs/>
          <w:color w:val="000000"/>
          <w:lang w:val="es-ES"/>
        </w:rPr>
        <w:lastRenderedPageBreak/>
        <w:t>¿En qué puedo gastar el 5to pago?</w:t>
      </w:r>
      <w:r w:rsidRPr="0067713F">
        <w:rPr>
          <w:rFonts w:eastAsia="Times New Roman" w:cstheme="minorHAnsi"/>
          <w:b/>
          <w:bCs/>
          <w:color w:val="000000"/>
          <w:shd w:val="clear" w:color="auto" w:fill="D2E3FC"/>
          <w:lang w:val="es-ES"/>
        </w:rPr>
        <w:t xml:space="preserve"> </w:t>
      </w:r>
    </w:p>
    <w:p w14:paraId="670BAC02" w14:textId="77777777" w:rsidR="00745F60" w:rsidRPr="0067713F" w:rsidRDefault="00745F60" w:rsidP="00F94520">
      <w:pPr>
        <w:ind w:left="990"/>
        <w:rPr>
          <w:shd w:val="clear" w:color="auto" w:fill="D2E3FC"/>
          <w:lang w:val="es-ES"/>
        </w:rPr>
      </w:pPr>
      <w:r w:rsidRPr="00B602FE">
        <w:rPr>
          <w:lang w:val="es-ES"/>
        </w:rPr>
        <w:t>Los gastos elegibles para el quinto pago son los mismos que para los primeros cuatro</w:t>
      </w:r>
      <w:r w:rsidRPr="00373173">
        <w:rPr>
          <w:lang w:val="es-ES"/>
        </w:rPr>
        <w:t xml:space="preserve"> </w:t>
      </w:r>
      <w:r w:rsidRPr="00B602FE">
        <w:rPr>
          <w:lang w:val="es-ES"/>
        </w:rPr>
        <w:t>pagos. Este apoyo financiero adicional está destinado a ayudarlo a través de la</w:t>
      </w:r>
      <w:r w:rsidRPr="00373173">
        <w:rPr>
          <w:lang w:val="es-ES"/>
        </w:rPr>
        <w:t xml:space="preserve"> </w:t>
      </w:r>
      <w:r w:rsidRPr="00B602FE">
        <w:rPr>
          <w:lang w:val="es-ES"/>
        </w:rPr>
        <w:t>transición de obtener o mantener la certificación Texas Rising Star antes del 30 de</w:t>
      </w:r>
      <w:r w:rsidRPr="00F94520">
        <w:rPr>
          <w:lang w:val="es-ES"/>
        </w:rPr>
        <w:t xml:space="preserve"> </w:t>
      </w:r>
      <w:r w:rsidRPr="00B602FE">
        <w:rPr>
          <w:lang w:val="es-ES"/>
        </w:rPr>
        <w:t>septiembre de 2024. El único cambio es que tendrá hasta el 30 de noviembre de</w:t>
      </w:r>
      <w:r w:rsidRPr="00F94520">
        <w:rPr>
          <w:lang w:val="es-ES"/>
        </w:rPr>
        <w:t xml:space="preserve"> </w:t>
      </w:r>
      <w:r w:rsidRPr="00B602FE">
        <w:rPr>
          <w:lang w:val="es-ES"/>
        </w:rPr>
        <w:t>2023 para gastar la totalidad de su premio CCRF. Consulte la sección "Uso de</w:t>
      </w:r>
      <w:r w:rsidRPr="00F94520">
        <w:rPr>
          <w:lang w:val="es-ES"/>
        </w:rPr>
        <w:t xml:space="preserve"> </w:t>
      </w:r>
      <w:r w:rsidRPr="00B602FE">
        <w:rPr>
          <w:lang w:val="es-ES"/>
        </w:rPr>
        <w:t>fondos" para obtener más información sobre los gastos permitidos</w:t>
      </w:r>
      <w:r w:rsidRPr="00F94520">
        <w:rPr>
          <w:lang w:val="es-ES"/>
        </w:rPr>
        <w:t>.</w:t>
      </w:r>
      <w:r w:rsidRPr="0067713F">
        <w:rPr>
          <w:shd w:val="clear" w:color="auto" w:fill="D2E3FC"/>
          <w:lang w:val="es-ES"/>
        </w:rPr>
        <w:t xml:space="preserve"> </w:t>
      </w:r>
    </w:p>
    <w:p w14:paraId="45D2C302" w14:textId="77777777" w:rsidR="00745F60" w:rsidRPr="0067713F" w:rsidRDefault="00745F60" w:rsidP="000462B9">
      <w:pPr>
        <w:spacing w:line="420" w:lineRule="atLeast"/>
        <w:ind w:left="720"/>
        <w:rPr>
          <w:rFonts w:eastAsia="Times New Roman" w:cstheme="minorHAnsi"/>
          <w:color w:val="000000"/>
          <w:shd w:val="clear" w:color="auto" w:fill="D2E3FC"/>
          <w:lang w:val="es-ES"/>
        </w:rPr>
      </w:pPr>
    </w:p>
    <w:p w14:paraId="41900E5A" w14:textId="31020E10" w:rsidR="00745F60" w:rsidRPr="00301A5A" w:rsidRDefault="00745F60" w:rsidP="00343CB5">
      <w:pPr>
        <w:pStyle w:val="ListParagraph"/>
        <w:numPr>
          <w:ilvl w:val="0"/>
          <w:numId w:val="17"/>
        </w:numPr>
        <w:tabs>
          <w:tab w:val="left" w:pos="810"/>
        </w:tabs>
        <w:ind w:left="1170" w:hanging="630"/>
        <w:rPr>
          <w:b/>
          <w:bCs/>
          <w:shd w:val="clear" w:color="auto" w:fill="D2E3FC"/>
          <w:lang w:val="es-ES"/>
        </w:rPr>
      </w:pPr>
      <w:r w:rsidRPr="00301A5A">
        <w:rPr>
          <w:b/>
          <w:bCs/>
          <w:lang w:val="es-ES"/>
        </w:rPr>
        <w:t xml:space="preserve">¿Cuándo se enviará el quinto pago? </w:t>
      </w:r>
    </w:p>
    <w:p w14:paraId="0AC796F5" w14:textId="77777777" w:rsidR="00BA5FC1" w:rsidRPr="00BE6E69" w:rsidRDefault="00745F60" w:rsidP="00BA5FC1">
      <w:pPr>
        <w:ind w:left="810"/>
        <w:rPr>
          <w:lang w:val="es-ES"/>
        </w:rPr>
      </w:pPr>
      <w:r w:rsidRPr="00B602FE">
        <w:rPr>
          <w:lang w:val="es-ES"/>
        </w:rPr>
        <w:t>A los proveedores elegibles se les enviará automáticamente su quinto pago en el verano de 2023.</w:t>
      </w:r>
      <w:r w:rsidR="00BA5FC1" w:rsidRPr="00BE6E69">
        <w:rPr>
          <w:lang w:val="es-ES"/>
        </w:rPr>
        <w:t xml:space="preserve"> </w:t>
      </w:r>
    </w:p>
    <w:p w14:paraId="0D0ABF4E" w14:textId="77777777" w:rsidR="00BA5FC1" w:rsidRPr="00BE6E69" w:rsidRDefault="00BA5FC1" w:rsidP="00BA5FC1">
      <w:pPr>
        <w:ind w:left="810"/>
        <w:rPr>
          <w:lang w:val="es-ES"/>
        </w:rPr>
      </w:pPr>
    </w:p>
    <w:p w14:paraId="40862740" w14:textId="46A65D72" w:rsidR="000308A5" w:rsidRPr="00BA5FC1" w:rsidRDefault="00BA5FC1" w:rsidP="00BA5FC1">
      <w:pPr>
        <w:pStyle w:val="ListParagraph"/>
        <w:numPr>
          <w:ilvl w:val="0"/>
          <w:numId w:val="17"/>
        </w:numPr>
        <w:rPr>
          <w:b/>
          <w:bCs/>
          <w:shd w:val="clear" w:color="auto" w:fill="D2E3FC"/>
          <w:lang w:val="es-ES"/>
        </w:rPr>
      </w:pPr>
      <w:r w:rsidRPr="00BA5FC1">
        <w:rPr>
          <w:b/>
          <w:bCs/>
          <w:lang w:val="es-ES"/>
        </w:rPr>
        <w:t xml:space="preserve">¿Tengo que aplicar para </w:t>
      </w:r>
      <w:r w:rsidR="00535561" w:rsidRPr="00BA5FC1">
        <w:rPr>
          <w:b/>
          <w:bCs/>
          <w:lang w:val="es-ES"/>
        </w:rPr>
        <w:t>recibir</w:t>
      </w:r>
      <w:r w:rsidRPr="00BA5FC1">
        <w:rPr>
          <w:b/>
          <w:bCs/>
          <w:lang w:val="es-ES"/>
        </w:rPr>
        <w:t xml:space="preserve"> el quinto pago?</w:t>
      </w:r>
      <w:r w:rsidR="00745F60" w:rsidRPr="00BA5FC1">
        <w:rPr>
          <w:b/>
          <w:bCs/>
          <w:shd w:val="clear" w:color="auto" w:fill="D2E3FC"/>
          <w:lang w:val="es-ES"/>
        </w:rPr>
        <w:t xml:space="preserve"> </w:t>
      </w:r>
    </w:p>
    <w:p w14:paraId="75441BBB" w14:textId="289FE258" w:rsidR="00745F60" w:rsidRPr="003D6CB2" w:rsidRDefault="00820284" w:rsidP="003D6CB2">
      <w:pPr>
        <w:pStyle w:val="ListParagraph"/>
        <w:ind w:left="810"/>
        <w:rPr>
          <w:shd w:val="clear" w:color="auto" w:fill="D2E3FC"/>
          <w:lang w:val="es-ES"/>
        </w:rPr>
      </w:pPr>
      <w:r w:rsidRPr="005A6F60">
        <w:rPr>
          <w:lang w:val="es-ES"/>
        </w:rPr>
        <w:t>L</w:t>
      </w:r>
      <w:r w:rsidR="00745F60" w:rsidRPr="005A6F60">
        <w:rPr>
          <w:lang w:val="es-ES"/>
        </w:rPr>
        <w:t>os proveedores elegibles no tienen que presentar una solicitud ni presenta</w:t>
      </w:r>
      <w:r w:rsidR="005A6F60" w:rsidRPr="005A6F60">
        <w:rPr>
          <w:lang w:val="es-ES"/>
        </w:rPr>
        <w:t xml:space="preserve">r </w:t>
      </w:r>
      <w:r w:rsidR="00745F60" w:rsidRPr="005A6F60">
        <w:rPr>
          <w:lang w:val="es-ES"/>
        </w:rPr>
        <w:t>ninguna documentación para recibir un quinto pago CCRF.</w:t>
      </w:r>
      <w:r w:rsidR="00745F60" w:rsidRPr="005A6F60">
        <w:rPr>
          <w:shd w:val="clear" w:color="auto" w:fill="D2E3FC"/>
          <w:lang w:val="es-ES"/>
        </w:rPr>
        <w:t xml:space="preserve"> </w:t>
      </w:r>
    </w:p>
    <w:p w14:paraId="50E8BB49" w14:textId="77777777" w:rsidR="00745F60" w:rsidRPr="0067713F" w:rsidRDefault="00745F60" w:rsidP="00F94520">
      <w:pPr>
        <w:pStyle w:val="ListParagraph"/>
        <w:numPr>
          <w:ilvl w:val="0"/>
          <w:numId w:val="17"/>
        </w:numPr>
        <w:spacing w:line="420" w:lineRule="atLeast"/>
        <w:ind w:left="720" w:hanging="270"/>
        <w:rPr>
          <w:rFonts w:eastAsia="Times New Roman" w:cstheme="minorHAnsi"/>
          <w:b/>
          <w:bCs/>
          <w:color w:val="000000"/>
          <w:shd w:val="clear" w:color="auto" w:fill="D2E3FC"/>
          <w:lang w:val="es-ES"/>
        </w:rPr>
      </w:pPr>
      <w:r w:rsidRPr="00B602FE">
        <w:rPr>
          <w:rFonts w:eastAsia="Times New Roman" w:cstheme="minorHAnsi"/>
          <w:b/>
          <w:bCs/>
          <w:color w:val="000000"/>
          <w:lang w:val="es-ES"/>
        </w:rPr>
        <w:t>Mi programa cambiará de propietario después de mayo de 2023. ¿Será elegible el</w:t>
      </w:r>
      <w:r w:rsidRPr="0067713F">
        <w:rPr>
          <w:rFonts w:eastAsia="Times New Roman" w:cstheme="minorHAnsi"/>
          <w:b/>
          <w:bCs/>
          <w:color w:val="000000"/>
          <w:shd w:val="clear" w:color="auto" w:fill="D2E3FC"/>
          <w:lang w:val="es-ES"/>
        </w:rPr>
        <w:t xml:space="preserve"> </w:t>
      </w:r>
      <w:r w:rsidRPr="00B602FE">
        <w:rPr>
          <w:rFonts w:eastAsia="Times New Roman" w:cstheme="minorHAnsi"/>
          <w:b/>
          <w:bCs/>
          <w:color w:val="000000"/>
          <w:lang w:val="es-ES"/>
        </w:rPr>
        <w:t>nuevo propietario para el quinto pago?</w:t>
      </w:r>
      <w:r w:rsidRPr="0067713F">
        <w:rPr>
          <w:rFonts w:eastAsia="Times New Roman" w:cstheme="minorHAnsi"/>
          <w:b/>
          <w:bCs/>
          <w:color w:val="000000"/>
          <w:shd w:val="clear" w:color="auto" w:fill="D2E3FC"/>
          <w:lang w:val="es-ES"/>
        </w:rPr>
        <w:t xml:space="preserve"> </w:t>
      </w:r>
    </w:p>
    <w:p w14:paraId="0B65BE28" w14:textId="77777777" w:rsidR="00745F60" w:rsidRDefault="00745F60" w:rsidP="00F94520">
      <w:pPr>
        <w:ind w:left="720"/>
        <w:rPr>
          <w:lang w:val="es-ES"/>
        </w:rPr>
      </w:pPr>
      <w:r w:rsidRPr="00B602FE">
        <w:rPr>
          <w:lang w:val="es-ES"/>
        </w:rPr>
        <w:t>No, un programa que cierre o cambie de propietario durante el transcurso del CCRF</w:t>
      </w:r>
      <w:r w:rsidRPr="00F94520">
        <w:rPr>
          <w:lang w:val="es-ES"/>
        </w:rPr>
        <w:t xml:space="preserve"> </w:t>
      </w:r>
      <w:r w:rsidRPr="00B602FE">
        <w:rPr>
          <w:lang w:val="es-ES"/>
        </w:rPr>
        <w:t>de 2022 no será elegible para recibir ningún financiamiento restante del CCRF de</w:t>
      </w:r>
      <w:r w:rsidRPr="00F94520">
        <w:rPr>
          <w:lang w:val="es-ES"/>
        </w:rPr>
        <w:t xml:space="preserve"> </w:t>
      </w:r>
      <w:r w:rsidRPr="00B602FE">
        <w:rPr>
          <w:lang w:val="es-ES"/>
        </w:rPr>
        <w:t>2022, incluido el quinto pago.</w:t>
      </w:r>
    </w:p>
    <w:p w14:paraId="3F22B790" w14:textId="77777777" w:rsidR="001329B7" w:rsidRDefault="001329B7" w:rsidP="00F94520">
      <w:pPr>
        <w:ind w:left="720"/>
        <w:rPr>
          <w:lang w:val="es-ES"/>
        </w:rPr>
      </w:pPr>
    </w:p>
    <w:p w14:paraId="4C1213B3" w14:textId="1DC95713" w:rsidR="001329B7" w:rsidRPr="007B733D" w:rsidRDefault="004D6975" w:rsidP="007B733D">
      <w:pPr>
        <w:pStyle w:val="ListParagraph"/>
        <w:numPr>
          <w:ilvl w:val="0"/>
          <w:numId w:val="17"/>
        </w:numPr>
        <w:ind w:left="720" w:hanging="270"/>
        <w:rPr>
          <w:b/>
          <w:bCs/>
        </w:rPr>
      </w:pPr>
      <w:r w:rsidRPr="00BE6E69">
        <w:rPr>
          <w:b/>
          <w:bCs/>
          <w:lang w:val="es-ES"/>
        </w:rPr>
        <w:t xml:space="preserve">No estoy seguro de si mi programa es elegible para un quinto pago del CCRF. </w:t>
      </w:r>
      <w:r w:rsidR="00740686" w:rsidRPr="007B733D">
        <w:rPr>
          <w:b/>
          <w:bCs/>
          <w:lang w:val="es-US"/>
        </w:rPr>
        <w:t>¿Qué debo hacer?</w:t>
      </w:r>
    </w:p>
    <w:p w14:paraId="15BE6D74" w14:textId="38605811" w:rsidR="00740686" w:rsidRPr="00BE6E69" w:rsidRDefault="002F0B19" w:rsidP="00934EDA">
      <w:pPr>
        <w:ind w:left="720"/>
        <w:rPr>
          <w:lang w:val="es-ES"/>
        </w:rPr>
      </w:pPr>
      <w:r w:rsidRPr="00BE6E69">
        <w:rPr>
          <w:lang w:val="es-ES"/>
        </w:rPr>
        <w:t xml:space="preserve">Si cree que su programa es elegible pero no ve un saldo restante en el Portal CCRF, envíe un correo electrónico a </w:t>
      </w:r>
      <w:hyperlink r:id="rId46" w:history="1">
        <w:r w:rsidRPr="00BE6E69">
          <w:rPr>
            <w:rStyle w:val="Hyperlink"/>
            <w:lang w:val="es-ES"/>
          </w:rPr>
          <w:t>CCReliefFunds@Trelliscompany.org</w:t>
        </w:r>
      </w:hyperlink>
      <w:r w:rsidRPr="00BE6E69">
        <w:rPr>
          <w:lang w:val="es-ES"/>
        </w:rPr>
        <w:t xml:space="preserve">  o llame al 1-833-613-3192 antes del 15 de </w:t>
      </w:r>
      <w:proofErr w:type="gramStart"/>
      <w:r w:rsidR="000C33C1" w:rsidRPr="00BE6E69">
        <w:rPr>
          <w:lang w:val="es-ES"/>
        </w:rPr>
        <w:t>O</w:t>
      </w:r>
      <w:r w:rsidRPr="00BE6E69">
        <w:rPr>
          <w:lang w:val="es-ES"/>
        </w:rPr>
        <w:t>ctubre</w:t>
      </w:r>
      <w:proofErr w:type="gramEnd"/>
      <w:r w:rsidRPr="00BE6E69">
        <w:rPr>
          <w:lang w:val="es-ES"/>
        </w:rPr>
        <w:t xml:space="preserve"> de 2023.</w:t>
      </w:r>
    </w:p>
    <w:p w14:paraId="37A47788" w14:textId="77777777" w:rsidR="00740686" w:rsidRPr="00BE6E69" w:rsidRDefault="00740686" w:rsidP="00740686">
      <w:pPr>
        <w:rPr>
          <w:lang w:val="es-ES"/>
        </w:rPr>
      </w:pPr>
    </w:p>
    <w:p w14:paraId="7E9B97F8" w14:textId="3D83E656" w:rsidR="00185D0D" w:rsidRPr="00846570" w:rsidRDefault="00185D0D" w:rsidP="00C150CA">
      <w:pPr>
        <w:pStyle w:val="Heading1"/>
        <w:rPr>
          <w:lang w:val="es-ES"/>
        </w:rPr>
      </w:pPr>
      <w:r>
        <w:rPr>
          <w:lang w:val="es-US"/>
        </w:rPr>
        <w:t>Documentación, supervisión y presentación de informes</w:t>
      </w:r>
    </w:p>
    <w:p w14:paraId="39B43182" w14:textId="0D23E816" w:rsidR="00CB08BE" w:rsidRDefault="005721CB" w:rsidP="00CB08BE">
      <w:pPr>
        <w:rPr>
          <w:lang w:val="es-US"/>
        </w:rPr>
      </w:pPr>
      <w:r>
        <w:rPr>
          <w:lang w:val="es-US"/>
        </w:rPr>
        <w:t>Los proveedores deben conservar la documentación sobre el uso de los fondos y se les pedirá que proporcionen a la TWC la documentación sobre el uso de los fondos si son seleccionados para la supervisión.</w:t>
      </w:r>
      <w:r w:rsidR="00567FFD" w:rsidRPr="00567FFD">
        <w:rPr>
          <w:lang w:val="es-US"/>
        </w:rPr>
        <w:t xml:space="preserve"> Obtenga más información leyendo nuestra guía sobre</w:t>
      </w:r>
      <w:r w:rsidR="00567FFD">
        <w:rPr>
          <w:lang w:val="es-US"/>
        </w:rPr>
        <w:t xml:space="preserve"> </w:t>
      </w:r>
      <w:r w:rsidR="00567FFD" w:rsidRPr="00D12386">
        <w:rPr>
          <w:lang w:val="es-ES"/>
        </w:rPr>
        <w:t xml:space="preserve">Documenting Expenses and Preparing for Monitoring Guide </w:t>
      </w:r>
      <w:r w:rsidR="00567FFD" w:rsidRPr="00567FFD">
        <w:rPr>
          <w:lang w:val="es-US"/>
        </w:rPr>
        <w:t xml:space="preserve">disponible en </w:t>
      </w:r>
      <w:hyperlink r:id="rId47" w:history="1">
        <w:r w:rsidR="00567FFD" w:rsidRPr="00567FFD">
          <w:rPr>
            <w:rStyle w:val="Hyperlink"/>
            <w:lang w:val="es-US"/>
          </w:rPr>
          <w:t>inglés</w:t>
        </w:r>
      </w:hyperlink>
      <w:r w:rsidR="00567FFD" w:rsidRPr="00567FFD">
        <w:rPr>
          <w:lang w:val="es-US"/>
        </w:rPr>
        <w:t xml:space="preserve">, </w:t>
      </w:r>
      <w:hyperlink r:id="rId48" w:history="1">
        <w:r w:rsidR="00567FFD" w:rsidRPr="00567FFD">
          <w:rPr>
            <w:rStyle w:val="Hyperlink"/>
            <w:lang w:val="es-US"/>
          </w:rPr>
          <w:t>español</w:t>
        </w:r>
      </w:hyperlink>
      <w:r w:rsidR="00567FFD" w:rsidRPr="00567FFD">
        <w:rPr>
          <w:lang w:val="es-US"/>
        </w:rPr>
        <w:t xml:space="preserve"> y </w:t>
      </w:r>
      <w:hyperlink r:id="rId49" w:history="1">
        <w:r w:rsidR="00567FFD" w:rsidRPr="00212289">
          <w:rPr>
            <w:rStyle w:val="Hyperlink"/>
            <w:lang w:val="es-US"/>
          </w:rPr>
          <w:t>vietnamita</w:t>
        </w:r>
      </w:hyperlink>
      <w:r w:rsidR="00567FFD" w:rsidRPr="00567FFD">
        <w:rPr>
          <w:lang w:val="es-US"/>
        </w:rPr>
        <w:t>.</w:t>
      </w:r>
    </w:p>
    <w:p w14:paraId="2B5FC3E9" w14:textId="40FD7EB9" w:rsidR="009B4F9E" w:rsidRPr="00846570" w:rsidRDefault="00BA5FC1" w:rsidP="00CB08BE">
      <w:pPr>
        <w:rPr>
          <w:lang w:val="es-ES"/>
        </w:rPr>
      </w:pPr>
      <w:r w:rsidRPr="00BA5FC1">
        <w:rPr>
          <w:lang w:val="es-US"/>
        </w:rPr>
        <w:t>4</w:t>
      </w:r>
    </w:p>
    <w:p w14:paraId="695303B8" w14:textId="77777777" w:rsidR="005721CB" w:rsidRPr="00846570" w:rsidRDefault="005721CB" w:rsidP="00CB08BE">
      <w:pPr>
        <w:rPr>
          <w:rFonts w:cstheme="minorHAnsi"/>
          <w:w w:val="90"/>
          <w:lang w:val="es-ES"/>
        </w:rPr>
      </w:pPr>
    </w:p>
    <w:p w14:paraId="55BB9970" w14:textId="65F26A1A" w:rsidR="00185D0D" w:rsidRPr="00846570" w:rsidRDefault="00185D0D" w:rsidP="00567FFD">
      <w:pPr>
        <w:pStyle w:val="ListParagraph"/>
        <w:numPr>
          <w:ilvl w:val="0"/>
          <w:numId w:val="7"/>
        </w:numPr>
        <w:rPr>
          <w:rFonts w:cstheme="minorHAnsi"/>
          <w:b/>
          <w:bCs/>
          <w:lang w:val="es-ES"/>
        </w:rPr>
      </w:pPr>
      <w:r>
        <w:rPr>
          <w:rFonts w:cstheme="minorHAnsi"/>
          <w:b/>
          <w:bCs/>
          <w:lang w:val="es-US"/>
        </w:rPr>
        <w:t>¿Con qué frecuencia informaremos cómo se han gastado los fondos del CCRF?</w:t>
      </w:r>
    </w:p>
    <w:p w14:paraId="2D248C18" w14:textId="530A2202" w:rsidR="003B2A79" w:rsidRPr="00846570" w:rsidRDefault="00C220D1" w:rsidP="001C203D">
      <w:pPr>
        <w:pStyle w:val="ListParagraph"/>
        <w:rPr>
          <w:rFonts w:cstheme="minorHAnsi"/>
          <w:lang w:val="es-ES"/>
        </w:rPr>
      </w:pPr>
      <w:r>
        <w:rPr>
          <w:rFonts w:cstheme="minorHAnsi"/>
          <w:lang w:val="es-US"/>
        </w:rPr>
        <w:t xml:space="preserve">Cada trimestre, y antes de recibir el segundo, tercer y cuarto pago, los proveedores deben presentar información sobre el uso de los fondos recibidos anteriormente. Los proveedores también deben presentar un informe final después de haber gastado todos sus fondos. Los proveedores pueden conectarse e informar sobre el uso de los fondos en cualquier momento después de recibir la financiación. Aproximadamente siete días antes de que se emita el pago trimestral de un proveedor (consulte el calendario de </w:t>
      </w:r>
      <w:r>
        <w:rPr>
          <w:rFonts w:cstheme="minorHAnsi"/>
          <w:lang w:val="es-US"/>
        </w:rPr>
        <w:lastRenderedPageBreak/>
        <w:t xml:space="preserve">pagos trimestrales más arriba), los proveedores recibirán un correo electrónico de recordatorio sobre este requisito de presentación de informes. </w:t>
      </w:r>
      <w:r>
        <w:rPr>
          <w:rFonts w:cstheme="minorHAnsi"/>
          <w:b/>
          <w:bCs/>
          <w:lang w:val="es-US"/>
        </w:rPr>
        <w:t>Si no se conecta y no cumple con los requisitos de presentación de informes, puede que no reciba sus fondos trimestrales.</w:t>
      </w:r>
      <w:r>
        <w:rPr>
          <w:rFonts w:cstheme="minorHAnsi"/>
          <w:lang w:val="es-US"/>
        </w:rPr>
        <w:t xml:space="preserve"> Los proveedores recibirán un correo electrónico adicional de recordatorio. </w:t>
      </w:r>
    </w:p>
    <w:p w14:paraId="3E2782E3" w14:textId="77777777" w:rsidR="003B2A79" w:rsidRPr="00846570" w:rsidRDefault="003B2A79" w:rsidP="001C203D">
      <w:pPr>
        <w:pStyle w:val="ListParagraph"/>
        <w:rPr>
          <w:rFonts w:cstheme="minorHAnsi"/>
          <w:lang w:val="es-ES"/>
        </w:rPr>
      </w:pPr>
    </w:p>
    <w:p w14:paraId="6BB4E8D8" w14:textId="6B0E18AD" w:rsidR="00B160CE" w:rsidRPr="00846570" w:rsidRDefault="00567FFD" w:rsidP="001C203D">
      <w:pPr>
        <w:pStyle w:val="ListParagraph"/>
        <w:rPr>
          <w:rFonts w:cstheme="minorHAnsi"/>
          <w:lang w:val="es-ES"/>
        </w:rPr>
      </w:pPr>
      <w:r>
        <w:rPr>
          <w:rFonts w:cstheme="minorHAnsi"/>
          <w:lang w:val="es-US"/>
        </w:rPr>
        <w:t>L</w:t>
      </w:r>
      <w:r w:rsidR="00D86B4B">
        <w:rPr>
          <w:rFonts w:cstheme="minorHAnsi"/>
          <w:lang w:val="es-US"/>
        </w:rPr>
        <w:t xml:space="preserve">os proveedores deben presentar </w:t>
      </w:r>
      <w:r>
        <w:rPr>
          <w:rFonts w:cstheme="minorHAnsi"/>
          <w:lang w:val="es-US"/>
        </w:rPr>
        <w:t xml:space="preserve">montos </w:t>
      </w:r>
      <w:r w:rsidR="00D86B4B">
        <w:rPr>
          <w:rFonts w:cstheme="minorHAnsi"/>
          <w:lang w:val="es-US"/>
        </w:rPr>
        <w:t xml:space="preserve">de gastos en las siguientes categorías: </w:t>
      </w:r>
    </w:p>
    <w:p w14:paraId="69EB9FA6" w14:textId="16CE984E" w:rsidR="00B160CE" w:rsidRPr="007D0DB2" w:rsidRDefault="00B160CE" w:rsidP="007D0DB2">
      <w:pPr>
        <w:pStyle w:val="ListParagraph"/>
        <w:numPr>
          <w:ilvl w:val="1"/>
          <w:numId w:val="13"/>
        </w:numPr>
        <w:rPr>
          <w:rFonts w:cstheme="minorHAnsi"/>
        </w:rPr>
      </w:pPr>
      <w:r>
        <w:rPr>
          <w:rFonts w:cstheme="minorHAnsi"/>
          <w:lang w:val="es-US"/>
        </w:rPr>
        <w:t xml:space="preserve">Costos de personal </w:t>
      </w:r>
    </w:p>
    <w:p w14:paraId="0F589E57" w14:textId="0E37B23C" w:rsidR="00B160CE" w:rsidRPr="00846570" w:rsidRDefault="00B160CE" w:rsidP="00B160CE">
      <w:pPr>
        <w:pStyle w:val="ListParagraph"/>
        <w:numPr>
          <w:ilvl w:val="1"/>
          <w:numId w:val="13"/>
        </w:numPr>
        <w:rPr>
          <w:rFonts w:cstheme="minorHAnsi"/>
          <w:lang w:val="es-ES"/>
        </w:rPr>
      </w:pPr>
      <w:r>
        <w:rPr>
          <w:rFonts w:cstheme="minorHAnsi"/>
          <w:lang w:val="es-US"/>
        </w:rPr>
        <w:t xml:space="preserve">Alquiler/hipoteca/servicios públicos </w:t>
      </w:r>
    </w:p>
    <w:p w14:paraId="55BF2CD2" w14:textId="18CE67A7" w:rsidR="00B160CE" w:rsidRPr="00846570" w:rsidRDefault="00F4640E" w:rsidP="00B160CE">
      <w:pPr>
        <w:pStyle w:val="ListParagraph"/>
        <w:numPr>
          <w:ilvl w:val="1"/>
          <w:numId w:val="13"/>
        </w:numPr>
        <w:rPr>
          <w:rFonts w:cstheme="minorHAnsi"/>
          <w:lang w:val="es-ES"/>
        </w:rPr>
      </w:pPr>
      <w:r>
        <w:rPr>
          <w:rFonts w:cstheme="minorHAnsi"/>
          <w:lang w:val="es-US"/>
        </w:rPr>
        <w:t>E</w:t>
      </w:r>
      <w:r w:rsidRPr="00F4640E">
        <w:t xml:space="preserve"> </w:t>
      </w:r>
      <w:r w:rsidRPr="00F4640E">
        <w:rPr>
          <w:rFonts w:cstheme="minorHAnsi"/>
          <w:lang w:val="es-US"/>
        </w:rPr>
        <w:t xml:space="preserve">quipo de protección personal </w:t>
      </w:r>
    </w:p>
    <w:p w14:paraId="22275D7E" w14:textId="11CE2E59" w:rsidR="00B160CE" w:rsidRPr="00846570" w:rsidRDefault="00F4640E" w:rsidP="00B160CE">
      <w:pPr>
        <w:pStyle w:val="ListParagraph"/>
        <w:numPr>
          <w:ilvl w:val="1"/>
          <w:numId w:val="13"/>
        </w:numPr>
        <w:rPr>
          <w:rFonts w:cstheme="minorHAnsi"/>
          <w:lang w:val="es-ES"/>
        </w:rPr>
      </w:pPr>
      <w:r w:rsidRPr="00F4640E">
        <w:rPr>
          <w:rFonts w:cstheme="minorHAnsi"/>
          <w:lang w:val="es-US"/>
        </w:rPr>
        <w:t xml:space="preserve">Compras o actualizaciones de </w:t>
      </w:r>
      <w:r>
        <w:rPr>
          <w:rFonts w:cstheme="minorHAnsi"/>
          <w:lang w:val="es-US"/>
        </w:rPr>
        <w:t>e</w:t>
      </w:r>
      <w:r w:rsidR="00B160CE">
        <w:rPr>
          <w:rFonts w:cstheme="minorHAnsi"/>
          <w:lang w:val="es-US"/>
        </w:rPr>
        <w:t xml:space="preserve">quipos y suministros </w:t>
      </w:r>
    </w:p>
    <w:p w14:paraId="5B3A5F26" w14:textId="2DD4BDB6" w:rsidR="00B160CE" w:rsidRPr="00846570" w:rsidRDefault="00B160CE" w:rsidP="00B160CE">
      <w:pPr>
        <w:pStyle w:val="ListParagraph"/>
        <w:numPr>
          <w:ilvl w:val="1"/>
          <w:numId w:val="13"/>
        </w:numPr>
        <w:rPr>
          <w:rFonts w:cstheme="minorHAnsi"/>
          <w:lang w:val="es-ES"/>
        </w:rPr>
      </w:pPr>
      <w:r>
        <w:rPr>
          <w:rFonts w:cstheme="minorHAnsi"/>
          <w:lang w:val="es-US"/>
        </w:rPr>
        <w:t xml:space="preserve">Bienes y servicios </w:t>
      </w:r>
    </w:p>
    <w:p w14:paraId="4B4AC3D0" w14:textId="2D814752" w:rsidR="00B160CE" w:rsidRPr="007D0DB2" w:rsidRDefault="00B160CE" w:rsidP="007D0DB2">
      <w:pPr>
        <w:pStyle w:val="ListParagraph"/>
        <w:numPr>
          <w:ilvl w:val="1"/>
          <w:numId w:val="13"/>
        </w:numPr>
        <w:rPr>
          <w:rFonts w:cstheme="minorHAnsi"/>
          <w:lang w:val="es-ES"/>
        </w:rPr>
      </w:pPr>
      <w:r>
        <w:rPr>
          <w:rFonts w:cstheme="minorHAnsi"/>
          <w:lang w:val="es-US"/>
        </w:rPr>
        <w:t xml:space="preserve">Apoyo de salud mental </w:t>
      </w:r>
    </w:p>
    <w:p w14:paraId="0E46D549" w14:textId="556B5D52" w:rsidR="00B160CE" w:rsidRPr="00846570" w:rsidRDefault="00B160CE" w:rsidP="00B160CE">
      <w:pPr>
        <w:pStyle w:val="ListParagraph"/>
        <w:numPr>
          <w:ilvl w:val="1"/>
          <w:numId w:val="13"/>
        </w:numPr>
        <w:rPr>
          <w:rFonts w:cstheme="minorHAnsi"/>
          <w:lang w:val="es-ES"/>
        </w:rPr>
      </w:pPr>
      <w:r>
        <w:rPr>
          <w:rFonts w:cstheme="minorHAnsi"/>
          <w:lang w:val="es-US"/>
        </w:rPr>
        <w:t>Otros (Los proveedores describirán cualquier otro uso de los fondos)</w:t>
      </w:r>
    </w:p>
    <w:p w14:paraId="76C2DD57" w14:textId="77777777" w:rsidR="00B160CE" w:rsidRPr="00846570" w:rsidRDefault="00B160CE" w:rsidP="002B6D3D">
      <w:pPr>
        <w:rPr>
          <w:rFonts w:cstheme="minorHAnsi"/>
          <w:lang w:val="es-ES"/>
        </w:rPr>
      </w:pPr>
    </w:p>
    <w:p w14:paraId="77F9A913" w14:textId="77777777" w:rsidR="00F4640E" w:rsidRDefault="00F4640E" w:rsidP="00185D0D">
      <w:pPr>
        <w:pStyle w:val="ListParagraph"/>
        <w:rPr>
          <w:rFonts w:cstheme="minorHAnsi"/>
          <w:lang w:val="es-US"/>
        </w:rPr>
      </w:pPr>
      <w:r w:rsidRPr="00F4640E">
        <w:rPr>
          <w:rFonts w:cstheme="minorHAnsi"/>
          <w:lang w:val="es-US"/>
        </w:rPr>
        <w:t>También se les pedirá a los proveedores que informen si la subvención de CCRF se utilizó para proporcionar alivio de matrícula o copago para las familias durante cada período de pago.</w:t>
      </w:r>
    </w:p>
    <w:p w14:paraId="655D88EE" w14:textId="77777777" w:rsidR="00F4640E" w:rsidRDefault="00F4640E" w:rsidP="00185D0D">
      <w:pPr>
        <w:pStyle w:val="ListParagraph"/>
        <w:rPr>
          <w:rFonts w:cstheme="minorHAnsi"/>
          <w:lang w:val="es-US"/>
        </w:rPr>
      </w:pPr>
    </w:p>
    <w:p w14:paraId="18FA3056" w14:textId="3FD83B08" w:rsidR="00185D0D" w:rsidRPr="00846570" w:rsidRDefault="00185D0D" w:rsidP="00185D0D">
      <w:pPr>
        <w:pStyle w:val="ListParagraph"/>
        <w:rPr>
          <w:rFonts w:cstheme="minorHAnsi"/>
          <w:lang w:val="es-ES"/>
        </w:rPr>
      </w:pPr>
      <w:r>
        <w:rPr>
          <w:rFonts w:cstheme="minorHAnsi"/>
          <w:lang w:val="es-US"/>
        </w:rPr>
        <w:t xml:space="preserve">El programa de cuidado infantil debe conservar la documentación de los gastos realizados dentro de las categorías permitidas en caso de ser auditado o supervisado por la TWC, lo cual se describe con más detalle abajo. </w:t>
      </w:r>
    </w:p>
    <w:p w14:paraId="4E3EAE90" w14:textId="77777777" w:rsidR="00185D0D" w:rsidRPr="00846570" w:rsidRDefault="00185D0D" w:rsidP="00185D0D">
      <w:pPr>
        <w:pStyle w:val="ListParagraph"/>
        <w:rPr>
          <w:rFonts w:cstheme="minorHAnsi"/>
          <w:b/>
          <w:bCs/>
          <w:lang w:val="es-ES"/>
        </w:rPr>
      </w:pPr>
    </w:p>
    <w:p w14:paraId="3E02EE59" w14:textId="12E804C2" w:rsidR="00C85F56" w:rsidRPr="00846570" w:rsidRDefault="00C85F56" w:rsidP="00567FFD">
      <w:pPr>
        <w:pStyle w:val="ListParagraph"/>
        <w:numPr>
          <w:ilvl w:val="0"/>
          <w:numId w:val="7"/>
        </w:numPr>
        <w:rPr>
          <w:rFonts w:cstheme="minorHAnsi"/>
          <w:b/>
          <w:bCs/>
          <w:lang w:val="es-ES"/>
        </w:rPr>
      </w:pPr>
      <w:r>
        <w:rPr>
          <w:rFonts w:cstheme="minorHAnsi"/>
          <w:b/>
          <w:bCs/>
          <w:lang w:val="es-US"/>
        </w:rPr>
        <w:t>¿Qué supervisión llevará a cabo la TWC de los proveedores?</w:t>
      </w:r>
    </w:p>
    <w:p w14:paraId="54C26EF4" w14:textId="64A57A62" w:rsidR="00776B9E" w:rsidRPr="00846570" w:rsidRDefault="00776B9E" w:rsidP="00ED7E29">
      <w:pPr>
        <w:pStyle w:val="ListParagraph"/>
        <w:rPr>
          <w:rFonts w:cstheme="minorHAnsi"/>
          <w:lang w:val="es-ES"/>
        </w:rPr>
      </w:pPr>
      <w:r>
        <w:rPr>
          <w:rFonts w:cstheme="minorHAnsi"/>
          <w:lang w:val="es-US"/>
        </w:rPr>
        <w:t xml:space="preserve">La TWC seleccionará más beneficiarios del CCRF para someterse a la supervisión del cumplimiento de los requisitos </w:t>
      </w:r>
      <w:proofErr w:type="gramStart"/>
      <w:r>
        <w:rPr>
          <w:rFonts w:cstheme="minorHAnsi"/>
          <w:lang w:val="es-US"/>
        </w:rPr>
        <w:t>del mismo</w:t>
      </w:r>
      <w:proofErr w:type="gramEnd"/>
      <w:r>
        <w:rPr>
          <w:rFonts w:cstheme="minorHAnsi"/>
          <w:lang w:val="es-US"/>
        </w:rPr>
        <w:t>, para las adjudicaciones de 2022 que para los</w:t>
      </w:r>
      <w:r w:rsidR="00B11023">
        <w:rPr>
          <w:rFonts w:cstheme="minorHAnsi"/>
          <w:lang w:val="es-US"/>
        </w:rPr>
        <w:t> </w:t>
      </w:r>
      <w:r>
        <w:rPr>
          <w:rFonts w:cstheme="minorHAnsi"/>
          <w:lang w:val="es-US"/>
        </w:rPr>
        <w:t>seleccionados en las adjudicaciones de 2021. En caso de ser seleccionados, los proveedores deberán presentar la documentación que acredite su cumplimiento. Los</w:t>
      </w:r>
      <w:r w:rsidR="00B11023">
        <w:rPr>
          <w:rFonts w:cstheme="minorHAnsi"/>
          <w:lang w:val="es-US"/>
        </w:rPr>
        <w:t> </w:t>
      </w:r>
      <w:r>
        <w:rPr>
          <w:rFonts w:cstheme="minorHAnsi"/>
          <w:lang w:val="es-US"/>
        </w:rPr>
        <w:t xml:space="preserve">programas seleccionados para la supervisión deben responder. A lo largo de este proceso, la TWC revisará el cumplimiento de los programas con los requisitos de elegibilidad, incluyendo el requisito de estar en funcionamiento al menos hasta mayo de 2023, y el cumplimiento de los requisitos federales (por ejemplo, proporcionar alivio de los copagos o de la matrícula en la medida de lo posible). La TWC revisará los gastos documentados para asegurarse de que sean permisibles, estén adecuadamente documentados, se hayan gastado dentro del plazo permitido y coincidan con la cantidad de fondos recibidos por el proveedor de conformidad con el CCRF. La falta de documentación adecuada para respaldar el cumplimiento o la determinación de incumplimiento puede dar lugar a la devolución de los fondos y a la imposibilidad de optar a futuras oportunidades de financiación. </w:t>
      </w:r>
    </w:p>
    <w:p w14:paraId="29B1DDE3" w14:textId="77777777" w:rsidR="00D16263" w:rsidRPr="00846570" w:rsidRDefault="00D16263" w:rsidP="00D16263">
      <w:pPr>
        <w:pStyle w:val="ListParagraph"/>
        <w:rPr>
          <w:rFonts w:cstheme="minorHAnsi"/>
          <w:b/>
          <w:bCs/>
          <w:lang w:val="es-ES"/>
        </w:rPr>
      </w:pPr>
    </w:p>
    <w:p w14:paraId="50DC0D4F" w14:textId="43D0D833" w:rsidR="00CB08BE" w:rsidRPr="00846570" w:rsidRDefault="00CB08BE" w:rsidP="00567FFD">
      <w:pPr>
        <w:pStyle w:val="ListParagraph"/>
        <w:numPr>
          <w:ilvl w:val="0"/>
          <w:numId w:val="7"/>
        </w:numPr>
        <w:rPr>
          <w:rFonts w:cstheme="minorHAnsi"/>
          <w:b/>
          <w:bCs/>
          <w:lang w:val="es-ES"/>
        </w:rPr>
      </w:pPr>
      <w:r>
        <w:rPr>
          <w:rFonts w:cstheme="minorHAnsi"/>
          <w:b/>
          <w:bCs/>
          <w:lang w:val="es-US"/>
        </w:rPr>
        <w:t>¿Qué documentación se debe conservar para demostrar los gastos?</w:t>
      </w:r>
    </w:p>
    <w:p w14:paraId="24F77BAC" w14:textId="3E6CBAE0" w:rsidR="00CB08BE" w:rsidRPr="00846570" w:rsidRDefault="00BE6E69" w:rsidP="00CB08BE">
      <w:pPr>
        <w:pStyle w:val="ListParagraph"/>
        <w:rPr>
          <w:rFonts w:cstheme="minorHAnsi"/>
          <w:lang w:val="es-ES"/>
        </w:rPr>
      </w:pPr>
      <w:hyperlink r:id="rId50" w:history="1">
        <w:r w:rsidR="004069D4">
          <w:rPr>
            <w:rStyle w:val="Hyperlink"/>
            <w:rFonts w:cstheme="minorHAnsi"/>
            <w:lang w:val="es-US"/>
          </w:rPr>
          <w:t>Se necesitan recibos, facturas u otra documentación de soporte</w:t>
        </w:r>
      </w:hyperlink>
      <w:r w:rsidR="004069D4">
        <w:rPr>
          <w:rStyle w:val="Hyperlink"/>
          <w:rFonts w:cstheme="minorHAnsi"/>
          <w:lang w:val="es-US"/>
        </w:rPr>
        <w:t xml:space="preserve"> </w:t>
      </w:r>
      <w:r w:rsidR="004069D4">
        <w:rPr>
          <w:rFonts w:cstheme="minorHAnsi"/>
          <w:lang w:val="es-US"/>
        </w:rPr>
        <w:t xml:space="preserve">para demostrar que los fondos se gastaron correctamente. Todos los recibos deben sumar la cantidad total de </w:t>
      </w:r>
      <w:r w:rsidR="004069D4">
        <w:rPr>
          <w:rFonts w:cstheme="minorHAnsi"/>
          <w:lang w:val="es-US"/>
        </w:rPr>
        <w:lastRenderedPageBreak/>
        <w:t>la financiación. Los fondos que se gasten sin una documentación de soporte se deben reembolsar a la TWC.</w:t>
      </w:r>
    </w:p>
    <w:p w14:paraId="45504582" w14:textId="77777777" w:rsidR="00CB08BE" w:rsidRPr="00846570" w:rsidRDefault="00CB08BE" w:rsidP="00CB08BE">
      <w:pPr>
        <w:rPr>
          <w:rFonts w:cstheme="minorHAnsi"/>
          <w:w w:val="95"/>
          <w:lang w:val="es-ES"/>
        </w:rPr>
      </w:pPr>
    </w:p>
    <w:p w14:paraId="338765C4" w14:textId="1A5DC8D2" w:rsidR="00CB08BE" w:rsidRPr="00846570" w:rsidRDefault="00CB08BE" w:rsidP="00567FFD">
      <w:pPr>
        <w:pStyle w:val="ListParagraph"/>
        <w:numPr>
          <w:ilvl w:val="0"/>
          <w:numId w:val="7"/>
        </w:numPr>
        <w:rPr>
          <w:rFonts w:cstheme="minorHAnsi"/>
          <w:b/>
          <w:bCs/>
          <w:lang w:val="es-ES"/>
        </w:rPr>
      </w:pPr>
      <w:r>
        <w:rPr>
          <w:rFonts w:cstheme="minorHAnsi"/>
          <w:b/>
          <w:bCs/>
          <w:lang w:val="es-US"/>
        </w:rPr>
        <w:t>¿Por qué debemos conservar los registros para el CCRF?</w:t>
      </w:r>
    </w:p>
    <w:p w14:paraId="6C57EC5D" w14:textId="443243D2" w:rsidR="00CB08BE" w:rsidRPr="00846570" w:rsidRDefault="00CB08BE" w:rsidP="00CB08BE">
      <w:pPr>
        <w:pStyle w:val="ListParagraph"/>
        <w:rPr>
          <w:rFonts w:cstheme="minorHAnsi"/>
          <w:lang w:val="es-ES"/>
        </w:rPr>
      </w:pPr>
      <w:r>
        <w:rPr>
          <w:rFonts w:cstheme="minorHAnsi"/>
          <w:lang w:val="es-US"/>
        </w:rPr>
        <w:t>Todos los gastos cubiertos por el CCRF están sujetos a auditoría y supervisión por parte de la TWC y otros funcionarios autorizados y deben cumplir con las reglamentaciones federales. La TWC seleccionará una serie de programas que reciban el CCRF de 2022. Los programas seleccionados para la supervisión deben responder. Conservar los registros para el CCRF garantiza que, en caso de que su programa sea seleccionado para la supervisión, pueda responder adecuadamente. La no presentación de los registros puede dar lugar a la devolución de los fondos y a la imposibilidad de optar a futuras oportunidades de financiación.</w:t>
      </w:r>
    </w:p>
    <w:p w14:paraId="041395AA" w14:textId="77777777" w:rsidR="00CB08BE" w:rsidRPr="00846570" w:rsidRDefault="00CB08BE" w:rsidP="00CB08BE">
      <w:pPr>
        <w:rPr>
          <w:rFonts w:cstheme="minorHAnsi"/>
          <w:w w:val="90"/>
          <w:lang w:val="es-ES"/>
        </w:rPr>
      </w:pPr>
    </w:p>
    <w:p w14:paraId="7E614131" w14:textId="241250AE" w:rsidR="00CB08BE" w:rsidRPr="00846570" w:rsidRDefault="00CB08BE" w:rsidP="00567FFD">
      <w:pPr>
        <w:pStyle w:val="ListParagraph"/>
        <w:numPr>
          <w:ilvl w:val="0"/>
          <w:numId w:val="7"/>
        </w:numPr>
        <w:rPr>
          <w:rFonts w:cstheme="minorHAnsi"/>
          <w:b/>
          <w:bCs/>
          <w:lang w:val="es-ES"/>
        </w:rPr>
      </w:pPr>
      <w:r>
        <w:rPr>
          <w:rFonts w:cstheme="minorHAnsi"/>
          <w:b/>
          <w:bCs/>
          <w:lang w:val="es-US"/>
        </w:rPr>
        <w:t>¿Cuánto tiempo debemos mantener nuestros registros para el CCRF?</w:t>
      </w:r>
    </w:p>
    <w:p w14:paraId="740EFBF8" w14:textId="01633FD8" w:rsidR="00CB08BE" w:rsidRPr="00846570" w:rsidRDefault="005806D9" w:rsidP="00CB08BE">
      <w:pPr>
        <w:pStyle w:val="ListParagraph"/>
        <w:rPr>
          <w:rFonts w:cstheme="minorHAnsi"/>
          <w:lang w:val="es-ES"/>
        </w:rPr>
      </w:pPr>
      <w:r>
        <w:rPr>
          <w:rFonts w:cstheme="minorHAnsi"/>
          <w:lang w:val="es-US"/>
        </w:rPr>
        <w:t>Los programas deben mantener los registros durante tres años después de la fecha de vencimiento del acuerdo o hasta que se resuelvan todos los asuntos de auditoría, reclamación y litigio, lo que ocurra más tarde. Esto incluye recibos, facturas y otra documentación que respalde cómo se gastaron todos los fondos.</w:t>
      </w:r>
    </w:p>
    <w:p w14:paraId="74754297" w14:textId="77777777" w:rsidR="00CB08BE" w:rsidRPr="00846570" w:rsidRDefault="00CB08BE" w:rsidP="00CB08BE">
      <w:pPr>
        <w:rPr>
          <w:rFonts w:cstheme="minorHAnsi"/>
          <w:lang w:val="es-ES"/>
        </w:rPr>
      </w:pPr>
    </w:p>
    <w:p w14:paraId="51888B79" w14:textId="0F28B381" w:rsidR="00CB08BE" w:rsidRPr="00846570" w:rsidRDefault="00CB08BE" w:rsidP="00567FFD">
      <w:pPr>
        <w:pStyle w:val="ListParagraph"/>
        <w:keepNext/>
        <w:numPr>
          <w:ilvl w:val="0"/>
          <w:numId w:val="7"/>
        </w:numPr>
        <w:rPr>
          <w:rFonts w:cstheme="minorHAnsi"/>
          <w:b/>
          <w:bCs/>
          <w:lang w:val="es-ES"/>
        </w:rPr>
      </w:pPr>
      <w:r>
        <w:rPr>
          <w:rFonts w:cstheme="minorHAnsi"/>
          <w:b/>
          <w:bCs/>
          <w:lang w:val="es-US"/>
        </w:rPr>
        <w:t>¿Qué ocurre con un programa que no cumple con la conservación de los registros?</w:t>
      </w:r>
    </w:p>
    <w:p w14:paraId="7E5B7B18" w14:textId="58E8EF4F" w:rsidR="00CB08BE" w:rsidRPr="00846570" w:rsidRDefault="00CB08BE" w:rsidP="00CB08BE">
      <w:pPr>
        <w:pStyle w:val="ListParagraph"/>
        <w:rPr>
          <w:rFonts w:cstheme="minorHAnsi"/>
          <w:lang w:val="es-ES"/>
        </w:rPr>
      </w:pPr>
      <w:r>
        <w:rPr>
          <w:rFonts w:cstheme="minorHAnsi"/>
          <w:lang w:val="es-US"/>
        </w:rPr>
        <w:t>De acuerdo con los términos y condiciones de la adjudicación, el incumplimiento de los requisitos relativos a los gastos puede dar lugar a la devolución de los fondos y a la imposibilidad de optar a futuras oportunidades de financiación.</w:t>
      </w:r>
    </w:p>
    <w:p w14:paraId="168E3544" w14:textId="77777777" w:rsidR="00CB08BE" w:rsidRPr="00846570" w:rsidRDefault="00CB08BE" w:rsidP="00CB08BE">
      <w:pPr>
        <w:pStyle w:val="ListParagraph"/>
        <w:rPr>
          <w:rFonts w:cstheme="minorHAnsi"/>
          <w:lang w:val="es-ES"/>
        </w:rPr>
      </w:pPr>
    </w:p>
    <w:p w14:paraId="689E3AC2" w14:textId="77777777" w:rsidR="00CB08BE" w:rsidRPr="00846570" w:rsidRDefault="00CB08BE" w:rsidP="00567FFD">
      <w:pPr>
        <w:pStyle w:val="ListParagraph"/>
        <w:keepNext/>
        <w:numPr>
          <w:ilvl w:val="0"/>
          <w:numId w:val="7"/>
        </w:numPr>
        <w:rPr>
          <w:rFonts w:cstheme="minorHAnsi"/>
          <w:b/>
          <w:bCs/>
          <w:lang w:val="es-ES"/>
        </w:rPr>
      </w:pPr>
      <w:r>
        <w:rPr>
          <w:rFonts w:cstheme="minorHAnsi"/>
          <w:b/>
          <w:bCs/>
          <w:lang w:val="es-US"/>
        </w:rPr>
        <w:t>¿Se deben devolver los fondos del CCRF?</w:t>
      </w:r>
    </w:p>
    <w:p w14:paraId="19410224" w14:textId="421F6792" w:rsidR="00CB08BE" w:rsidRPr="00846570" w:rsidRDefault="00CB08BE" w:rsidP="00CB08BE">
      <w:pPr>
        <w:pStyle w:val="ListParagraph"/>
        <w:rPr>
          <w:rFonts w:cstheme="minorHAnsi"/>
          <w:lang w:val="es-ES"/>
        </w:rPr>
      </w:pPr>
      <w:r>
        <w:rPr>
          <w:rFonts w:cstheme="minorHAnsi"/>
          <w:lang w:val="es-US"/>
        </w:rPr>
        <w:t>No, el CCRF no es un préstamo y no requiere que los fondos sean devueltos, siempre y</w:t>
      </w:r>
      <w:r w:rsidR="0090538D">
        <w:rPr>
          <w:rFonts w:cstheme="minorHAnsi"/>
          <w:lang w:val="es-US"/>
        </w:rPr>
        <w:t> </w:t>
      </w:r>
      <w:r>
        <w:rPr>
          <w:rFonts w:cstheme="minorHAnsi"/>
          <w:lang w:val="es-US"/>
        </w:rPr>
        <w:t>cuando los fondos se gasten de acuerdo con los términos y condiciones de la adjudicación y las Directrices del CCRF, y siempre y cuando, el proveedor conserve la documentación de cómo se gastaron.</w:t>
      </w:r>
    </w:p>
    <w:p w14:paraId="6DFBD480" w14:textId="77777777" w:rsidR="00CB08BE" w:rsidRPr="00846570" w:rsidRDefault="00CB08BE" w:rsidP="00CB08BE">
      <w:pPr>
        <w:rPr>
          <w:rFonts w:cstheme="minorHAnsi"/>
          <w:b/>
          <w:bCs/>
          <w:lang w:val="es-ES"/>
        </w:rPr>
      </w:pPr>
    </w:p>
    <w:p w14:paraId="71141FE5" w14:textId="77777777" w:rsidR="00CB08BE" w:rsidRPr="00846570" w:rsidRDefault="00CB08BE" w:rsidP="00CB08BE">
      <w:pPr>
        <w:rPr>
          <w:rFonts w:cstheme="minorHAnsi"/>
          <w:lang w:val="es-ES"/>
        </w:rPr>
      </w:pPr>
    </w:p>
    <w:p w14:paraId="2C187586" w14:textId="6F1BBA3B" w:rsidR="00CB08BE" w:rsidRPr="00846570" w:rsidRDefault="00CB08BE" w:rsidP="00C150CA">
      <w:pPr>
        <w:pStyle w:val="Heading1"/>
        <w:rPr>
          <w:lang w:val="es-ES"/>
        </w:rPr>
      </w:pPr>
      <w:r>
        <w:rPr>
          <w:lang w:val="es-US"/>
        </w:rPr>
        <w:t>¿Qué pasa si necesito más ayuda?</w:t>
      </w:r>
    </w:p>
    <w:p w14:paraId="1F6977F8" w14:textId="77777777" w:rsidR="00A752E6" w:rsidRPr="00846570" w:rsidRDefault="00A752E6" w:rsidP="00A752E6">
      <w:pPr>
        <w:rPr>
          <w:rFonts w:cstheme="minorHAnsi"/>
          <w:lang w:val="es-ES"/>
        </w:rPr>
      </w:pPr>
    </w:p>
    <w:p w14:paraId="0F917709" w14:textId="4C643F93" w:rsidR="004C1529" w:rsidRPr="00846570" w:rsidRDefault="00CB08BE" w:rsidP="00A752E6">
      <w:pPr>
        <w:rPr>
          <w:rFonts w:cstheme="minorHAnsi"/>
          <w:lang w:val="es-ES"/>
        </w:rPr>
      </w:pPr>
      <w:r>
        <w:rPr>
          <w:lang w:val="es-US"/>
        </w:rPr>
        <w:t>El equipo de asistencia técnica está a su disposición para ayudarle con cualquier asunto y</w:t>
      </w:r>
      <w:r w:rsidR="00B11023">
        <w:rPr>
          <w:lang w:val="es-US"/>
        </w:rPr>
        <w:t> </w:t>
      </w:r>
      <w:r>
        <w:rPr>
          <w:lang w:val="es-US"/>
        </w:rPr>
        <w:t xml:space="preserve">pregunta relacionados con el Fondo de Alivio para el Cuidado Infantil. Comuníquese con </w:t>
      </w:r>
      <w:hyperlink r:id="rId51" w:history="1">
        <w:r>
          <w:rPr>
            <w:rStyle w:val="Hyperlink"/>
            <w:lang w:val="es-US"/>
          </w:rPr>
          <w:t>CCReliefFunds@trelliscompany.org</w:t>
        </w:r>
      </w:hyperlink>
      <w:r>
        <w:rPr>
          <w:lang w:val="es-US"/>
        </w:rPr>
        <w:t xml:space="preserve"> </w:t>
      </w:r>
      <w:r w:rsidR="00F4640E" w:rsidRPr="00CD214E">
        <w:rPr>
          <w:rStyle w:val="Hyperlink"/>
          <w:lang w:val="es-US"/>
        </w:rPr>
        <w:t>o llamar</w:t>
      </w:r>
      <w:r w:rsidR="00F4640E">
        <w:rPr>
          <w:rStyle w:val="Hyperlink"/>
          <w:lang w:val="es-US"/>
        </w:rPr>
        <w:t xml:space="preserve"> 1-833-613-3192 </w:t>
      </w:r>
      <w:r>
        <w:rPr>
          <w:lang w:val="es-US"/>
        </w:rPr>
        <w:t>para recibir ayuda.</w:t>
      </w:r>
    </w:p>
    <w:p w14:paraId="6A3A51C8" w14:textId="77777777" w:rsidR="004C1529" w:rsidRPr="00846570" w:rsidRDefault="004C1529" w:rsidP="00A752E6">
      <w:pPr>
        <w:rPr>
          <w:rFonts w:cstheme="minorHAnsi"/>
          <w:lang w:val="es-ES"/>
        </w:rPr>
      </w:pPr>
    </w:p>
    <w:p w14:paraId="41616DB8" w14:textId="5A903B28" w:rsidR="00CB08BE" w:rsidRPr="00846570" w:rsidRDefault="00CB08BE" w:rsidP="00A752E6">
      <w:pPr>
        <w:rPr>
          <w:rFonts w:cstheme="minorHAnsi"/>
          <w:lang w:val="es-ES"/>
        </w:rPr>
      </w:pPr>
      <w:r>
        <w:rPr>
          <w:rFonts w:cstheme="minorHAnsi"/>
          <w:lang w:val="es-US"/>
        </w:rPr>
        <w:t xml:space="preserve">Para obtener más información, incluidos los recursos de apoyo, visite </w:t>
      </w:r>
      <w:hyperlink r:id="rId52">
        <w:r>
          <w:rPr>
            <w:rFonts w:cstheme="minorHAnsi"/>
            <w:color w:val="0000FF"/>
            <w:u w:val="single"/>
            <w:lang w:val="es-US"/>
          </w:rPr>
          <w:t>https://childcare.texas.gov/</w:t>
        </w:r>
      </w:hyperlink>
      <w:r>
        <w:rPr>
          <w:rFonts w:cstheme="minorHAnsi"/>
          <w:lang w:val="es-US"/>
        </w:rPr>
        <w:t>.</w:t>
      </w:r>
    </w:p>
    <w:p w14:paraId="35C267AA" w14:textId="7E0FB9DF" w:rsidR="00A752E6" w:rsidRPr="00846570" w:rsidRDefault="00A752E6" w:rsidP="00A752E6">
      <w:pPr>
        <w:rPr>
          <w:rFonts w:cstheme="minorHAnsi"/>
          <w:lang w:val="es-ES"/>
        </w:rPr>
      </w:pPr>
    </w:p>
    <w:p w14:paraId="3C5AAD67" w14:textId="1A41D484" w:rsidR="006431CE" w:rsidRPr="00846570" w:rsidRDefault="006431CE" w:rsidP="006431CE">
      <w:pPr>
        <w:rPr>
          <w:rFonts w:cstheme="minorHAnsi"/>
          <w:lang w:val="es-ES"/>
        </w:rPr>
      </w:pPr>
      <w:r>
        <w:rPr>
          <w:rFonts w:cstheme="minorHAnsi"/>
          <w:lang w:val="es-US"/>
        </w:rPr>
        <w:t>La TWC también ofrece asesoramiento empresarial gratuito a los proveedores autorizados y</w:t>
      </w:r>
      <w:r w:rsidR="00B11023">
        <w:rPr>
          <w:rFonts w:cstheme="minorHAnsi"/>
          <w:lang w:val="es-US"/>
        </w:rPr>
        <w:t> </w:t>
      </w:r>
      <w:r>
        <w:rPr>
          <w:rFonts w:cstheme="minorHAnsi"/>
          <w:lang w:val="es-US"/>
        </w:rPr>
        <w:t xml:space="preserve">reglamentados. Puede </w:t>
      </w:r>
      <w:hyperlink r:id="rId53" w:history="1">
        <w:r>
          <w:rPr>
            <w:rStyle w:val="Hyperlink"/>
            <w:rFonts w:cstheme="minorHAnsi"/>
            <w:lang w:val="es-US"/>
          </w:rPr>
          <w:t>comunicarse con un asesor empresarial especializado en el cuidado infantil</w:t>
        </w:r>
      </w:hyperlink>
      <w:r>
        <w:rPr>
          <w:rFonts w:cstheme="minorHAnsi"/>
          <w:lang w:val="es-US"/>
        </w:rPr>
        <w:t xml:space="preserve"> para beneficiarse de sus servicios.</w:t>
      </w:r>
    </w:p>
    <w:p w14:paraId="51BB1617" w14:textId="6875D12A" w:rsidR="00CB08BE" w:rsidRPr="00846570" w:rsidRDefault="00CB08BE" w:rsidP="00CB08BE">
      <w:pPr>
        <w:rPr>
          <w:rFonts w:cstheme="minorHAnsi"/>
          <w:lang w:val="es-ES"/>
        </w:rPr>
      </w:pPr>
    </w:p>
    <w:p w14:paraId="40E85ABB" w14:textId="77777777" w:rsidR="00B707F5" w:rsidRPr="00846570" w:rsidRDefault="00B707F5">
      <w:pPr>
        <w:rPr>
          <w:rFonts w:cstheme="minorHAnsi"/>
          <w:lang w:val="es-ES"/>
        </w:rPr>
      </w:pPr>
    </w:p>
    <w:sectPr w:rsidR="00B707F5" w:rsidRPr="00846570">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5820" w14:textId="77777777" w:rsidR="00A41C5E" w:rsidRDefault="00A41C5E" w:rsidP="003A6318">
      <w:r>
        <w:separator/>
      </w:r>
    </w:p>
  </w:endnote>
  <w:endnote w:type="continuationSeparator" w:id="0">
    <w:p w14:paraId="195506ED" w14:textId="77777777" w:rsidR="00A41C5E" w:rsidRDefault="00A41C5E" w:rsidP="003A6318">
      <w:r>
        <w:continuationSeparator/>
      </w:r>
    </w:p>
  </w:endnote>
  <w:endnote w:type="continuationNotice" w:id="1">
    <w:p w14:paraId="47A182D5" w14:textId="77777777" w:rsidR="00A41C5E" w:rsidRDefault="00A41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474674"/>
      <w:docPartObj>
        <w:docPartGallery w:val="Page Numbers (Bottom of Page)"/>
        <w:docPartUnique/>
      </w:docPartObj>
    </w:sdtPr>
    <w:sdtEndPr>
      <w:rPr>
        <w:noProof/>
      </w:rPr>
    </w:sdtEndPr>
    <w:sdtContent>
      <w:p w14:paraId="17FEE91D" w14:textId="56FA1FBA" w:rsidR="00874901" w:rsidRDefault="008749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68B7B" w14:textId="77777777" w:rsidR="00B7022F" w:rsidRDefault="00B7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53BF" w14:textId="77777777" w:rsidR="00A41C5E" w:rsidRDefault="00A41C5E" w:rsidP="003A6318">
      <w:r>
        <w:separator/>
      </w:r>
    </w:p>
  </w:footnote>
  <w:footnote w:type="continuationSeparator" w:id="0">
    <w:p w14:paraId="3595D679" w14:textId="77777777" w:rsidR="00A41C5E" w:rsidRDefault="00A41C5E" w:rsidP="003A6318">
      <w:r>
        <w:continuationSeparator/>
      </w:r>
    </w:p>
  </w:footnote>
  <w:footnote w:type="continuationNotice" w:id="1">
    <w:p w14:paraId="6A125BA0" w14:textId="77777777" w:rsidR="00A41C5E" w:rsidRDefault="00A41C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7EE"/>
    <w:multiLevelType w:val="hybridMultilevel"/>
    <w:tmpl w:val="FE968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A33C6"/>
    <w:multiLevelType w:val="hybridMultilevel"/>
    <w:tmpl w:val="3BD00F7E"/>
    <w:lvl w:ilvl="0" w:tplc="A0264742">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76529"/>
    <w:multiLevelType w:val="hybridMultilevel"/>
    <w:tmpl w:val="4E4AED4E"/>
    <w:lvl w:ilvl="0" w:tplc="6554B91C">
      <w:start w:val="1"/>
      <w:numFmt w:val="decimal"/>
      <w:lvlText w:val="%1."/>
      <w:lvlJc w:val="left"/>
      <w:pPr>
        <w:ind w:left="113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1E462394"/>
    <w:multiLevelType w:val="hybridMultilevel"/>
    <w:tmpl w:val="FDCC19E4"/>
    <w:lvl w:ilvl="0" w:tplc="04090019">
      <w:start w:val="1"/>
      <w:numFmt w:val="lowerLetter"/>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F66487A"/>
    <w:multiLevelType w:val="hybridMultilevel"/>
    <w:tmpl w:val="1DA0E016"/>
    <w:lvl w:ilvl="0" w:tplc="3952856E">
      <w:start w:val="1"/>
      <w:numFmt w:val="decimal"/>
      <w:lvlText w:val="%1."/>
      <w:lvlJc w:val="left"/>
      <w:pPr>
        <w:ind w:left="81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F77AB3"/>
    <w:multiLevelType w:val="hybridMultilevel"/>
    <w:tmpl w:val="73EA3826"/>
    <w:lvl w:ilvl="0" w:tplc="33A0F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EB7E97"/>
    <w:multiLevelType w:val="hybridMultilevel"/>
    <w:tmpl w:val="10B07A24"/>
    <w:lvl w:ilvl="0" w:tplc="A0264742">
      <w:start w:val="1"/>
      <w:numFmt w:val="decimal"/>
      <w:lvlText w:val="%1."/>
      <w:lvlJc w:val="left"/>
      <w:pPr>
        <w:ind w:left="720" w:hanging="360"/>
      </w:pPr>
      <w:rPr>
        <w:rFonts w:hint="default"/>
        <w:b/>
        <w:bCs/>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176A8"/>
    <w:multiLevelType w:val="hybridMultilevel"/>
    <w:tmpl w:val="1C58B4B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E26C93"/>
    <w:multiLevelType w:val="hybridMultilevel"/>
    <w:tmpl w:val="9C3AC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13353"/>
    <w:multiLevelType w:val="hybridMultilevel"/>
    <w:tmpl w:val="4E1ABF92"/>
    <w:lvl w:ilvl="0" w:tplc="E04420F6">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C6399"/>
    <w:multiLevelType w:val="hybridMultilevel"/>
    <w:tmpl w:val="38625D74"/>
    <w:lvl w:ilvl="0" w:tplc="A0264742">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F700B"/>
    <w:multiLevelType w:val="hybridMultilevel"/>
    <w:tmpl w:val="9C6C6300"/>
    <w:lvl w:ilvl="0" w:tplc="622A6EFC">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A1273"/>
    <w:multiLevelType w:val="hybridMultilevel"/>
    <w:tmpl w:val="B0008638"/>
    <w:lvl w:ilvl="0" w:tplc="A1108810">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6103"/>
    <w:multiLevelType w:val="hybridMultilevel"/>
    <w:tmpl w:val="CFBE50B4"/>
    <w:lvl w:ilvl="0" w:tplc="A0264742">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B7B44"/>
    <w:multiLevelType w:val="hybridMultilevel"/>
    <w:tmpl w:val="414E9C16"/>
    <w:lvl w:ilvl="0" w:tplc="A0264742">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AA627A"/>
    <w:multiLevelType w:val="hybridMultilevel"/>
    <w:tmpl w:val="7F26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0D3B65"/>
    <w:multiLevelType w:val="hybridMultilevel"/>
    <w:tmpl w:val="018A573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D9B0B468">
      <w:start w:val="4"/>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9598009">
    <w:abstractNumId w:val="12"/>
  </w:num>
  <w:num w:numId="2" w16cid:durableId="1070075814">
    <w:abstractNumId w:val="16"/>
  </w:num>
  <w:num w:numId="3" w16cid:durableId="1488521994">
    <w:abstractNumId w:val="9"/>
  </w:num>
  <w:num w:numId="4" w16cid:durableId="976690448">
    <w:abstractNumId w:val="13"/>
  </w:num>
  <w:num w:numId="5" w16cid:durableId="445655957">
    <w:abstractNumId w:val="2"/>
  </w:num>
  <w:num w:numId="6" w16cid:durableId="1113289226">
    <w:abstractNumId w:val="8"/>
  </w:num>
  <w:num w:numId="7" w16cid:durableId="20518051">
    <w:abstractNumId w:val="1"/>
  </w:num>
  <w:num w:numId="8" w16cid:durableId="1630698044">
    <w:abstractNumId w:val="14"/>
  </w:num>
  <w:num w:numId="9" w16cid:durableId="723064704">
    <w:abstractNumId w:val="5"/>
  </w:num>
  <w:num w:numId="10" w16cid:durableId="1843162698">
    <w:abstractNumId w:val="7"/>
  </w:num>
  <w:num w:numId="11" w16cid:durableId="1682708199">
    <w:abstractNumId w:val="11"/>
  </w:num>
  <w:num w:numId="12" w16cid:durableId="1284386139">
    <w:abstractNumId w:val="3"/>
  </w:num>
  <w:num w:numId="13" w16cid:durableId="1594897925">
    <w:abstractNumId w:val="6"/>
  </w:num>
  <w:num w:numId="14" w16cid:durableId="2072076906">
    <w:abstractNumId w:val="10"/>
  </w:num>
  <w:num w:numId="15" w16cid:durableId="308362058">
    <w:abstractNumId w:val="0"/>
  </w:num>
  <w:num w:numId="16" w16cid:durableId="1166552749">
    <w:abstractNumId w:val="15"/>
  </w:num>
  <w:num w:numId="17" w16cid:durableId="1274629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BE"/>
    <w:rsid w:val="00000420"/>
    <w:rsid w:val="000036D7"/>
    <w:rsid w:val="00003F3C"/>
    <w:rsid w:val="00005166"/>
    <w:rsid w:val="00011643"/>
    <w:rsid w:val="00020438"/>
    <w:rsid w:val="000242ED"/>
    <w:rsid w:val="0002630B"/>
    <w:rsid w:val="000265CF"/>
    <w:rsid w:val="000308A5"/>
    <w:rsid w:val="0003113D"/>
    <w:rsid w:val="00033DAB"/>
    <w:rsid w:val="00033FFC"/>
    <w:rsid w:val="000342C6"/>
    <w:rsid w:val="00034CA1"/>
    <w:rsid w:val="00037703"/>
    <w:rsid w:val="000403BB"/>
    <w:rsid w:val="0004456E"/>
    <w:rsid w:val="00045BC2"/>
    <w:rsid w:val="00046102"/>
    <w:rsid w:val="000462B9"/>
    <w:rsid w:val="00047BE9"/>
    <w:rsid w:val="00050984"/>
    <w:rsid w:val="000510CA"/>
    <w:rsid w:val="000514A8"/>
    <w:rsid w:val="0005171E"/>
    <w:rsid w:val="000526C4"/>
    <w:rsid w:val="00052DC6"/>
    <w:rsid w:val="00053046"/>
    <w:rsid w:val="00053CAD"/>
    <w:rsid w:val="00055A4D"/>
    <w:rsid w:val="000569FA"/>
    <w:rsid w:val="0006166F"/>
    <w:rsid w:val="00061B2D"/>
    <w:rsid w:val="0006537C"/>
    <w:rsid w:val="000679C5"/>
    <w:rsid w:val="000679ED"/>
    <w:rsid w:val="00071CB6"/>
    <w:rsid w:val="00074350"/>
    <w:rsid w:val="00075D21"/>
    <w:rsid w:val="00080DE7"/>
    <w:rsid w:val="000823E3"/>
    <w:rsid w:val="00086525"/>
    <w:rsid w:val="000915F7"/>
    <w:rsid w:val="00093C38"/>
    <w:rsid w:val="00097535"/>
    <w:rsid w:val="000A039E"/>
    <w:rsid w:val="000A191D"/>
    <w:rsid w:val="000A2C57"/>
    <w:rsid w:val="000A75FF"/>
    <w:rsid w:val="000A766A"/>
    <w:rsid w:val="000B06DB"/>
    <w:rsid w:val="000B2197"/>
    <w:rsid w:val="000B3304"/>
    <w:rsid w:val="000B3A64"/>
    <w:rsid w:val="000B4524"/>
    <w:rsid w:val="000B7006"/>
    <w:rsid w:val="000C33C1"/>
    <w:rsid w:val="000C4B3B"/>
    <w:rsid w:val="000C5808"/>
    <w:rsid w:val="000C6898"/>
    <w:rsid w:val="000D0812"/>
    <w:rsid w:val="000D1669"/>
    <w:rsid w:val="000D2482"/>
    <w:rsid w:val="000D2B48"/>
    <w:rsid w:val="000D357F"/>
    <w:rsid w:val="000D3715"/>
    <w:rsid w:val="000D5BA2"/>
    <w:rsid w:val="000D7078"/>
    <w:rsid w:val="000E105E"/>
    <w:rsid w:val="000E22F8"/>
    <w:rsid w:val="000E38FC"/>
    <w:rsid w:val="000E3A41"/>
    <w:rsid w:val="000E618C"/>
    <w:rsid w:val="000F01FD"/>
    <w:rsid w:val="000F4845"/>
    <w:rsid w:val="00101283"/>
    <w:rsid w:val="001034F4"/>
    <w:rsid w:val="00103DFD"/>
    <w:rsid w:val="00104195"/>
    <w:rsid w:val="00104BF6"/>
    <w:rsid w:val="00107C4F"/>
    <w:rsid w:val="001113CC"/>
    <w:rsid w:val="001119E6"/>
    <w:rsid w:val="00113ACB"/>
    <w:rsid w:val="00114341"/>
    <w:rsid w:val="001154E7"/>
    <w:rsid w:val="001204A7"/>
    <w:rsid w:val="00120FA4"/>
    <w:rsid w:val="001210EA"/>
    <w:rsid w:val="001226B3"/>
    <w:rsid w:val="001251C4"/>
    <w:rsid w:val="001266AE"/>
    <w:rsid w:val="0012795D"/>
    <w:rsid w:val="00131C13"/>
    <w:rsid w:val="001329B7"/>
    <w:rsid w:val="001340BA"/>
    <w:rsid w:val="001348F6"/>
    <w:rsid w:val="00136534"/>
    <w:rsid w:val="001366E8"/>
    <w:rsid w:val="00136708"/>
    <w:rsid w:val="0013693A"/>
    <w:rsid w:val="0013767F"/>
    <w:rsid w:val="00142E0C"/>
    <w:rsid w:val="00145AC7"/>
    <w:rsid w:val="00151DA8"/>
    <w:rsid w:val="00153B0C"/>
    <w:rsid w:val="00157641"/>
    <w:rsid w:val="00157976"/>
    <w:rsid w:val="00160055"/>
    <w:rsid w:val="001624D3"/>
    <w:rsid w:val="00163647"/>
    <w:rsid w:val="00164EF6"/>
    <w:rsid w:val="00165857"/>
    <w:rsid w:val="00170088"/>
    <w:rsid w:val="00173E81"/>
    <w:rsid w:val="00175F3A"/>
    <w:rsid w:val="00176E3E"/>
    <w:rsid w:val="0018049B"/>
    <w:rsid w:val="00183443"/>
    <w:rsid w:val="00185420"/>
    <w:rsid w:val="00185D0D"/>
    <w:rsid w:val="00186A9D"/>
    <w:rsid w:val="00187B7B"/>
    <w:rsid w:val="00191E32"/>
    <w:rsid w:val="00192CD6"/>
    <w:rsid w:val="00192DF4"/>
    <w:rsid w:val="00194A49"/>
    <w:rsid w:val="00196302"/>
    <w:rsid w:val="001966A5"/>
    <w:rsid w:val="001A3DAF"/>
    <w:rsid w:val="001A5CC0"/>
    <w:rsid w:val="001A7A18"/>
    <w:rsid w:val="001B03BA"/>
    <w:rsid w:val="001B1117"/>
    <w:rsid w:val="001B263D"/>
    <w:rsid w:val="001B48D7"/>
    <w:rsid w:val="001B5CEA"/>
    <w:rsid w:val="001B6D40"/>
    <w:rsid w:val="001B7B31"/>
    <w:rsid w:val="001C203D"/>
    <w:rsid w:val="001C2824"/>
    <w:rsid w:val="001C3218"/>
    <w:rsid w:val="001C41B0"/>
    <w:rsid w:val="001C6645"/>
    <w:rsid w:val="001C6665"/>
    <w:rsid w:val="001C75A3"/>
    <w:rsid w:val="001D402E"/>
    <w:rsid w:val="001D499C"/>
    <w:rsid w:val="001D5C7A"/>
    <w:rsid w:val="001D7237"/>
    <w:rsid w:val="001E0677"/>
    <w:rsid w:val="001E19C2"/>
    <w:rsid w:val="001E22EE"/>
    <w:rsid w:val="001E2772"/>
    <w:rsid w:val="001E615E"/>
    <w:rsid w:val="001F081E"/>
    <w:rsid w:val="001F173F"/>
    <w:rsid w:val="001F2266"/>
    <w:rsid w:val="001F3712"/>
    <w:rsid w:val="001F3FC3"/>
    <w:rsid w:val="001F5A7D"/>
    <w:rsid w:val="00201746"/>
    <w:rsid w:val="00204B86"/>
    <w:rsid w:val="00205117"/>
    <w:rsid w:val="002119B4"/>
    <w:rsid w:val="00212289"/>
    <w:rsid w:val="002128C8"/>
    <w:rsid w:val="00213A4C"/>
    <w:rsid w:val="00215120"/>
    <w:rsid w:val="00217972"/>
    <w:rsid w:val="00220270"/>
    <w:rsid w:val="00220683"/>
    <w:rsid w:val="0023113C"/>
    <w:rsid w:val="00231297"/>
    <w:rsid w:val="00232964"/>
    <w:rsid w:val="00234C03"/>
    <w:rsid w:val="002359BC"/>
    <w:rsid w:val="00235EB0"/>
    <w:rsid w:val="002441D4"/>
    <w:rsid w:val="00246051"/>
    <w:rsid w:val="0024735F"/>
    <w:rsid w:val="002504CF"/>
    <w:rsid w:val="0025753E"/>
    <w:rsid w:val="00257B91"/>
    <w:rsid w:val="00257CF8"/>
    <w:rsid w:val="002604A1"/>
    <w:rsid w:val="00260696"/>
    <w:rsid w:val="002606F8"/>
    <w:rsid w:val="00262274"/>
    <w:rsid w:val="00264E4E"/>
    <w:rsid w:val="00264E7A"/>
    <w:rsid w:val="00270C63"/>
    <w:rsid w:val="00273A3F"/>
    <w:rsid w:val="002760C0"/>
    <w:rsid w:val="00280A85"/>
    <w:rsid w:val="00284C32"/>
    <w:rsid w:val="00286025"/>
    <w:rsid w:val="0028607C"/>
    <w:rsid w:val="00291128"/>
    <w:rsid w:val="002920F8"/>
    <w:rsid w:val="002941C1"/>
    <w:rsid w:val="002A1835"/>
    <w:rsid w:val="002A2A94"/>
    <w:rsid w:val="002A38ED"/>
    <w:rsid w:val="002A3BBD"/>
    <w:rsid w:val="002A6674"/>
    <w:rsid w:val="002B164C"/>
    <w:rsid w:val="002B2629"/>
    <w:rsid w:val="002B29DA"/>
    <w:rsid w:val="002B52E3"/>
    <w:rsid w:val="002B5438"/>
    <w:rsid w:val="002B5A5B"/>
    <w:rsid w:val="002B68C2"/>
    <w:rsid w:val="002B6D3D"/>
    <w:rsid w:val="002C6567"/>
    <w:rsid w:val="002C6DB4"/>
    <w:rsid w:val="002D021D"/>
    <w:rsid w:val="002D1D6D"/>
    <w:rsid w:val="002D324D"/>
    <w:rsid w:val="002D3BB6"/>
    <w:rsid w:val="002D490F"/>
    <w:rsid w:val="002D53B7"/>
    <w:rsid w:val="002D57CE"/>
    <w:rsid w:val="002D6565"/>
    <w:rsid w:val="002D69ED"/>
    <w:rsid w:val="002D7DE2"/>
    <w:rsid w:val="002E038B"/>
    <w:rsid w:val="002E0CF4"/>
    <w:rsid w:val="002E30F6"/>
    <w:rsid w:val="002E3DE1"/>
    <w:rsid w:val="002E4660"/>
    <w:rsid w:val="002E5579"/>
    <w:rsid w:val="002E67CD"/>
    <w:rsid w:val="002F0B19"/>
    <w:rsid w:val="002F37B9"/>
    <w:rsid w:val="00301A5A"/>
    <w:rsid w:val="00301C22"/>
    <w:rsid w:val="00305C5F"/>
    <w:rsid w:val="00306C5B"/>
    <w:rsid w:val="003112A8"/>
    <w:rsid w:val="00314752"/>
    <w:rsid w:val="003155FB"/>
    <w:rsid w:val="0031678C"/>
    <w:rsid w:val="003202B3"/>
    <w:rsid w:val="003213F9"/>
    <w:rsid w:val="00321BC3"/>
    <w:rsid w:val="00321DEE"/>
    <w:rsid w:val="00323D94"/>
    <w:rsid w:val="0032763B"/>
    <w:rsid w:val="0033209A"/>
    <w:rsid w:val="0033418E"/>
    <w:rsid w:val="00334B64"/>
    <w:rsid w:val="00336B08"/>
    <w:rsid w:val="00336D9E"/>
    <w:rsid w:val="00343CB5"/>
    <w:rsid w:val="00344232"/>
    <w:rsid w:val="00344A47"/>
    <w:rsid w:val="00346007"/>
    <w:rsid w:val="0035033E"/>
    <w:rsid w:val="00353BC7"/>
    <w:rsid w:val="0035487D"/>
    <w:rsid w:val="003562CE"/>
    <w:rsid w:val="003602B2"/>
    <w:rsid w:val="003609A4"/>
    <w:rsid w:val="00363BD7"/>
    <w:rsid w:val="00366ABB"/>
    <w:rsid w:val="003723F2"/>
    <w:rsid w:val="00373173"/>
    <w:rsid w:val="00373327"/>
    <w:rsid w:val="00374DB5"/>
    <w:rsid w:val="003777A4"/>
    <w:rsid w:val="00380F30"/>
    <w:rsid w:val="00381BED"/>
    <w:rsid w:val="003858D0"/>
    <w:rsid w:val="00386257"/>
    <w:rsid w:val="0038685C"/>
    <w:rsid w:val="003879D6"/>
    <w:rsid w:val="003934D8"/>
    <w:rsid w:val="00394BBA"/>
    <w:rsid w:val="0039607D"/>
    <w:rsid w:val="0039687D"/>
    <w:rsid w:val="00397859"/>
    <w:rsid w:val="003A12F3"/>
    <w:rsid w:val="003A1998"/>
    <w:rsid w:val="003A6318"/>
    <w:rsid w:val="003A6D6B"/>
    <w:rsid w:val="003A7968"/>
    <w:rsid w:val="003B0223"/>
    <w:rsid w:val="003B0229"/>
    <w:rsid w:val="003B2A79"/>
    <w:rsid w:val="003B46A4"/>
    <w:rsid w:val="003B677F"/>
    <w:rsid w:val="003C1B29"/>
    <w:rsid w:val="003C1C9C"/>
    <w:rsid w:val="003C2FC5"/>
    <w:rsid w:val="003C41D8"/>
    <w:rsid w:val="003C4B5B"/>
    <w:rsid w:val="003D6CB2"/>
    <w:rsid w:val="003E22DC"/>
    <w:rsid w:val="003E24E0"/>
    <w:rsid w:val="003E2D71"/>
    <w:rsid w:val="003E4066"/>
    <w:rsid w:val="003E6522"/>
    <w:rsid w:val="003E6D1D"/>
    <w:rsid w:val="003F3290"/>
    <w:rsid w:val="0040358C"/>
    <w:rsid w:val="00406197"/>
    <w:rsid w:val="004069D4"/>
    <w:rsid w:val="004113A2"/>
    <w:rsid w:val="00414E1A"/>
    <w:rsid w:val="00415576"/>
    <w:rsid w:val="00422DC0"/>
    <w:rsid w:val="00424F12"/>
    <w:rsid w:val="00425F17"/>
    <w:rsid w:val="00426354"/>
    <w:rsid w:val="004265D1"/>
    <w:rsid w:val="00427BFB"/>
    <w:rsid w:val="00430320"/>
    <w:rsid w:val="00430E18"/>
    <w:rsid w:val="0043346E"/>
    <w:rsid w:val="00434E4D"/>
    <w:rsid w:val="004357B2"/>
    <w:rsid w:val="004357FE"/>
    <w:rsid w:val="00440D61"/>
    <w:rsid w:val="00445F62"/>
    <w:rsid w:val="00446782"/>
    <w:rsid w:val="00447DD2"/>
    <w:rsid w:val="004516B9"/>
    <w:rsid w:val="00452F29"/>
    <w:rsid w:val="00455455"/>
    <w:rsid w:val="00455C65"/>
    <w:rsid w:val="004636F4"/>
    <w:rsid w:val="0046509C"/>
    <w:rsid w:val="00465388"/>
    <w:rsid w:val="004678D5"/>
    <w:rsid w:val="00474B41"/>
    <w:rsid w:val="0047610B"/>
    <w:rsid w:val="00476467"/>
    <w:rsid w:val="00476ED7"/>
    <w:rsid w:val="004779F2"/>
    <w:rsid w:val="004800CB"/>
    <w:rsid w:val="0048020A"/>
    <w:rsid w:val="004805B1"/>
    <w:rsid w:val="004819EF"/>
    <w:rsid w:val="00483EDB"/>
    <w:rsid w:val="00485E51"/>
    <w:rsid w:val="00486120"/>
    <w:rsid w:val="004926CE"/>
    <w:rsid w:val="00492EC1"/>
    <w:rsid w:val="004A2881"/>
    <w:rsid w:val="004A4C0A"/>
    <w:rsid w:val="004A5B69"/>
    <w:rsid w:val="004A5CA0"/>
    <w:rsid w:val="004A7DD5"/>
    <w:rsid w:val="004B276F"/>
    <w:rsid w:val="004B3E8A"/>
    <w:rsid w:val="004B5A6C"/>
    <w:rsid w:val="004B6420"/>
    <w:rsid w:val="004C1529"/>
    <w:rsid w:val="004C4BCB"/>
    <w:rsid w:val="004C56B9"/>
    <w:rsid w:val="004D0532"/>
    <w:rsid w:val="004D24B8"/>
    <w:rsid w:val="004D3B79"/>
    <w:rsid w:val="004D530C"/>
    <w:rsid w:val="004D6975"/>
    <w:rsid w:val="004E257F"/>
    <w:rsid w:val="004E354E"/>
    <w:rsid w:val="004E3F01"/>
    <w:rsid w:val="004E4754"/>
    <w:rsid w:val="004E63BB"/>
    <w:rsid w:val="004F09F6"/>
    <w:rsid w:val="004F1446"/>
    <w:rsid w:val="004F1C3E"/>
    <w:rsid w:val="004F30A1"/>
    <w:rsid w:val="004F6513"/>
    <w:rsid w:val="004F66E3"/>
    <w:rsid w:val="00500128"/>
    <w:rsid w:val="00502E48"/>
    <w:rsid w:val="005043CF"/>
    <w:rsid w:val="0050520F"/>
    <w:rsid w:val="005059DC"/>
    <w:rsid w:val="005066F8"/>
    <w:rsid w:val="00506CB7"/>
    <w:rsid w:val="00507DF0"/>
    <w:rsid w:val="005101EC"/>
    <w:rsid w:val="0051161C"/>
    <w:rsid w:val="00512280"/>
    <w:rsid w:val="005132FE"/>
    <w:rsid w:val="00513538"/>
    <w:rsid w:val="00517D06"/>
    <w:rsid w:val="005214A4"/>
    <w:rsid w:val="00525F2C"/>
    <w:rsid w:val="005264F5"/>
    <w:rsid w:val="00526630"/>
    <w:rsid w:val="00531CE2"/>
    <w:rsid w:val="00531E39"/>
    <w:rsid w:val="0053271E"/>
    <w:rsid w:val="00533860"/>
    <w:rsid w:val="005349F5"/>
    <w:rsid w:val="00535561"/>
    <w:rsid w:val="00536144"/>
    <w:rsid w:val="00536EE3"/>
    <w:rsid w:val="005404FE"/>
    <w:rsid w:val="00541204"/>
    <w:rsid w:val="00542857"/>
    <w:rsid w:val="00543F7A"/>
    <w:rsid w:val="005459CF"/>
    <w:rsid w:val="00546D6F"/>
    <w:rsid w:val="005526F4"/>
    <w:rsid w:val="0056109E"/>
    <w:rsid w:val="005611F9"/>
    <w:rsid w:val="005645C7"/>
    <w:rsid w:val="00564E0C"/>
    <w:rsid w:val="005656FD"/>
    <w:rsid w:val="00565825"/>
    <w:rsid w:val="00566EF9"/>
    <w:rsid w:val="00566F06"/>
    <w:rsid w:val="00567FFD"/>
    <w:rsid w:val="00570A62"/>
    <w:rsid w:val="005720D0"/>
    <w:rsid w:val="005721CB"/>
    <w:rsid w:val="00572D9A"/>
    <w:rsid w:val="00574902"/>
    <w:rsid w:val="00574954"/>
    <w:rsid w:val="005770AE"/>
    <w:rsid w:val="005806D9"/>
    <w:rsid w:val="00582C98"/>
    <w:rsid w:val="00583A69"/>
    <w:rsid w:val="00583B2A"/>
    <w:rsid w:val="00584638"/>
    <w:rsid w:val="00584BC5"/>
    <w:rsid w:val="005914B2"/>
    <w:rsid w:val="00594F02"/>
    <w:rsid w:val="005959DD"/>
    <w:rsid w:val="005A4BDF"/>
    <w:rsid w:val="005A5951"/>
    <w:rsid w:val="005A69A4"/>
    <w:rsid w:val="005A6F60"/>
    <w:rsid w:val="005A7146"/>
    <w:rsid w:val="005A77DB"/>
    <w:rsid w:val="005B691A"/>
    <w:rsid w:val="005B704A"/>
    <w:rsid w:val="005B72A0"/>
    <w:rsid w:val="005C219B"/>
    <w:rsid w:val="005D1B30"/>
    <w:rsid w:val="005D2098"/>
    <w:rsid w:val="005D2116"/>
    <w:rsid w:val="005D5E61"/>
    <w:rsid w:val="005E08A5"/>
    <w:rsid w:val="005E0E0B"/>
    <w:rsid w:val="005E1A92"/>
    <w:rsid w:val="005E263B"/>
    <w:rsid w:val="005E3843"/>
    <w:rsid w:val="005E3AD8"/>
    <w:rsid w:val="005E6E04"/>
    <w:rsid w:val="005F3D47"/>
    <w:rsid w:val="005F43BB"/>
    <w:rsid w:val="005F4B32"/>
    <w:rsid w:val="005F50D9"/>
    <w:rsid w:val="005F5F22"/>
    <w:rsid w:val="005F6702"/>
    <w:rsid w:val="006019AE"/>
    <w:rsid w:val="0060238E"/>
    <w:rsid w:val="00602B6E"/>
    <w:rsid w:val="0060334F"/>
    <w:rsid w:val="00603749"/>
    <w:rsid w:val="00604326"/>
    <w:rsid w:val="00607390"/>
    <w:rsid w:val="00607635"/>
    <w:rsid w:val="0061124C"/>
    <w:rsid w:val="0061153C"/>
    <w:rsid w:val="00614E26"/>
    <w:rsid w:val="0061555B"/>
    <w:rsid w:val="00615748"/>
    <w:rsid w:val="00616452"/>
    <w:rsid w:val="006169A2"/>
    <w:rsid w:val="00621E99"/>
    <w:rsid w:val="00622E72"/>
    <w:rsid w:val="0062309F"/>
    <w:rsid w:val="00625C99"/>
    <w:rsid w:val="006279B1"/>
    <w:rsid w:val="00627D96"/>
    <w:rsid w:val="00633720"/>
    <w:rsid w:val="00635BF4"/>
    <w:rsid w:val="00635D48"/>
    <w:rsid w:val="006371D6"/>
    <w:rsid w:val="00641C39"/>
    <w:rsid w:val="006430B1"/>
    <w:rsid w:val="006431CE"/>
    <w:rsid w:val="00645258"/>
    <w:rsid w:val="00645ADA"/>
    <w:rsid w:val="006469AD"/>
    <w:rsid w:val="00646C6B"/>
    <w:rsid w:val="00650B8D"/>
    <w:rsid w:val="00651BA9"/>
    <w:rsid w:val="006539B5"/>
    <w:rsid w:val="00655529"/>
    <w:rsid w:val="0065586D"/>
    <w:rsid w:val="006558BC"/>
    <w:rsid w:val="00655B0B"/>
    <w:rsid w:val="00656599"/>
    <w:rsid w:val="00660710"/>
    <w:rsid w:val="00660F9C"/>
    <w:rsid w:val="0066163E"/>
    <w:rsid w:val="00661C87"/>
    <w:rsid w:val="00663795"/>
    <w:rsid w:val="00663C5B"/>
    <w:rsid w:val="00664A92"/>
    <w:rsid w:val="006656C1"/>
    <w:rsid w:val="00665708"/>
    <w:rsid w:val="00670556"/>
    <w:rsid w:val="00670580"/>
    <w:rsid w:val="0067376F"/>
    <w:rsid w:val="00674A7F"/>
    <w:rsid w:val="00676884"/>
    <w:rsid w:val="0067713F"/>
    <w:rsid w:val="006773AF"/>
    <w:rsid w:val="00677CFA"/>
    <w:rsid w:val="00680AED"/>
    <w:rsid w:val="00682F5A"/>
    <w:rsid w:val="00684BB6"/>
    <w:rsid w:val="00684E1E"/>
    <w:rsid w:val="0068705D"/>
    <w:rsid w:val="00687A70"/>
    <w:rsid w:val="00687F7D"/>
    <w:rsid w:val="00695AAC"/>
    <w:rsid w:val="00696502"/>
    <w:rsid w:val="006A135D"/>
    <w:rsid w:val="006A3D0D"/>
    <w:rsid w:val="006A7195"/>
    <w:rsid w:val="006B15E3"/>
    <w:rsid w:val="006B63BF"/>
    <w:rsid w:val="006B7C9A"/>
    <w:rsid w:val="006C2886"/>
    <w:rsid w:val="006C2C7F"/>
    <w:rsid w:val="006C491E"/>
    <w:rsid w:val="006C6B98"/>
    <w:rsid w:val="006D325D"/>
    <w:rsid w:val="006D3741"/>
    <w:rsid w:val="006E2CB1"/>
    <w:rsid w:val="006E54BA"/>
    <w:rsid w:val="006E5D29"/>
    <w:rsid w:val="006F02EC"/>
    <w:rsid w:val="006F1A9B"/>
    <w:rsid w:val="006F412C"/>
    <w:rsid w:val="006F6E15"/>
    <w:rsid w:val="00700662"/>
    <w:rsid w:val="00704ACC"/>
    <w:rsid w:val="0070526E"/>
    <w:rsid w:val="0070563A"/>
    <w:rsid w:val="00705BE3"/>
    <w:rsid w:val="007139A9"/>
    <w:rsid w:val="007150D1"/>
    <w:rsid w:val="00716460"/>
    <w:rsid w:val="00721EE3"/>
    <w:rsid w:val="00722E0A"/>
    <w:rsid w:val="00725679"/>
    <w:rsid w:val="00727C7F"/>
    <w:rsid w:val="007302C0"/>
    <w:rsid w:val="00731B97"/>
    <w:rsid w:val="00732C4A"/>
    <w:rsid w:val="00732F56"/>
    <w:rsid w:val="00740686"/>
    <w:rsid w:val="00740C11"/>
    <w:rsid w:val="0074106E"/>
    <w:rsid w:val="00742DA3"/>
    <w:rsid w:val="00743942"/>
    <w:rsid w:val="00743AA2"/>
    <w:rsid w:val="00744FD7"/>
    <w:rsid w:val="00745523"/>
    <w:rsid w:val="00745F60"/>
    <w:rsid w:val="00747F21"/>
    <w:rsid w:val="007506A1"/>
    <w:rsid w:val="0075107A"/>
    <w:rsid w:val="00751692"/>
    <w:rsid w:val="00752675"/>
    <w:rsid w:val="00757B29"/>
    <w:rsid w:val="00761F1F"/>
    <w:rsid w:val="007644E6"/>
    <w:rsid w:val="00765ABC"/>
    <w:rsid w:val="007668EF"/>
    <w:rsid w:val="0077097F"/>
    <w:rsid w:val="0077262D"/>
    <w:rsid w:val="007732F3"/>
    <w:rsid w:val="0077346E"/>
    <w:rsid w:val="00776A2A"/>
    <w:rsid w:val="00776B9E"/>
    <w:rsid w:val="007823CE"/>
    <w:rsid w:val="00782BBC"/>
    <w:rsid w:val="0078411A"/>
    <w:rsid w:val="007858B7"/>
    <w:rsid w:val="00786D84"/>
    <w:rsid w:val="00786F25"/>
    <w:rsid w:val="00792F86"/>
    <w:rsid w:val="007951E1"/>
    <w:rsid w:val="007A4664"/>
    <w:rsid w:val="007A6D0E"/>
    <w:rsid w:val="007B082F"/>
    <w:rsid w:val="007B0C5C"/>
    <w:rsid w:val="007B15C1"/>
    <w:rsid w:val="007B193B"/>
    <w:rsid w:val="007B1965"/>
    <w:rsid w:val="007B22EF"/>
    <w:rsid w:val="007B338D"/>
    <w:rsid w:val="007B3742"/>
    <w:rsid w:val="007B4127"/>
    <w:rsid w:val="007B47BF"/>
    <w:rsid w:val="007B4F28"/>
    <w:rsid w:val="007B733D"/>
    <w:rsid w:val="007D0DB2"/>
    <w:rsid w:val="007D4512"/>
    <w:rsid w:val="007D686B"/>
    <w:rsid w:val="007D6FFA"/>
    <w:rsid w:val="007E0BEA"/>
    <w:rsid w:val="007E246E"/>
    <w:rsid w:val="007E57C8"/>
    <w:rsid w:val="007F1FFC"/>
    <w:rsid w:val="007F3C41"/>
    <w:rsid w:val="007F4C82"/>
    <w:rsid w:val="007F4CD4"/>
    <w:rsid w:val="007F630C"/>
    <w:rsid w:val="00800379"/>
    <w:rsid w:val="008044C4"/>
    <w:rsid w:val="0081644F"/>
    <w:rsid w:val="00817E9F"/>
    <w:rsid w:val="00820284"/>
    <w:rsid w:val="00824F7F"/>
    <w:rsid w:val="008258A6"/>
    <w:rsid w:val="00826653"/>
    <w:rsid w:val="00827F84"/>
    <w:rsid w:val="008306EA"/>
    <w:rsid w:val="00841B8A"/>
    <w:rsid w:val="00842150"/>
    <w:rsid w:val="00844533"/>
    <w:rsid w:val="00844D57"/>
    <w:rsid w:val="00845866"/>
    <w:rsid w:val="00846570"/>
    <w:rsid w:val="0085227E"/>
    <w:rsid w:val="00853890"/>
    <w:rsid w:val="00857A01"/>
    <w:rsid w:val="00860BD2"/>
    <w:rsid w:val="00860E46"/>
    <w:rsid w:val="00860F78"/>
    <w:rsid w:val="00861220"/>
    <w:rsid w:val="00863A6E"/>
    <w:rsid w:val="00863D09"/>
    <w:rsid w:val="00863EBD"/>
    <w:rsid w:val="00866191"/>
    <w:rsid w:val="008669E1"/>
    <w:rsid w:val="00867C8C"/>
    <w:rsid w:val="00872569"/>
    <w:rsid w:val="00874901"/>
    <w:rsid w:val="008750D2"/>
    <w:rsid w:val="0087520A"/>
    <w:rsid w:val="00881495"/>
    <w:rsid w:val="008839FF"/>
    <w:rsid w:val="008844DB"/>
    <w:rsid w:val="00885554"/>
    <w:rsid w:val="00890B26"/>
    <w:rsid w:val="00892008"/>
    <w:rsid w:val="00893E52"/>
    <w:rsid w:val="00894B83"/>
    <w:rsid w:val="00895B66"/>
    <w:rsid w:val="00895D2E"/>
    <w:rsid w:val="00897ADF"/>
    <w:rsid w:val="008A2D84"/>
    <w:rsid w:val="008A4163"/>
    <w:rsid w:val="008A4E0B"/>
    <w:rsid w:val="008A5BD8"/>
    <w:rsid w:val="008A6575"/>
    <w:rsid w:val="008B02AC"/>
    <w:rsid w:val="008B3C1C"/>
    <w:rsid w:val="008B4849"/>
    <w:rsid w:val="008B4861"/>
    <w:rsid w:val="008C0E64"/>
    <w:rsid w:val="008C1243"/>
    <w:rsid w:val="008C1293"/>
    <w:rsid w:val="008C28E2"/>
    <w:rsid w:val="008C3F85"/>
    <w:rsid w:val="008C74F4"/>
    <w:rsid w:val="008D2CD4"/>
    <w:rsid w:val="008D64BD"/>
    <w:rsid w:val="008E1F90"/>
    <w:rsid w:val="008E3153"/>
    <w:rsid w:val="008E4BBA"/>
    <w:rsid w:val="008F2751"/>
    <w:rsid w:val="009042EE"/>
    <w:rsid w:val="0090538D"/>
    <w:rsid w:val="00911A15"/>
    <w:rsid w:val="009122A7"/>
    <w:rsid w:val="00912621"/>
    <w:rsid w:val="00914A5D"/>
    <w:rsid w:val="009156B3"/>
    <w:rsid w:val="00917C57"/>
    <w:rsid w:val="00920620"/>
    <w:rsid w:val="00922A5B"/>
    <w:rsid w:val="009241D4"/>
    <w:rsid w:val="00926201"/>
    <w:rsid w:val="009277F3"/>
    <w:rsid w:val="0093233B"/>
    <w:rsid w:val="00933B67"/>
    <w:rsid w:val="00934EDA"/>
    <w:rsid w:val="00936CD6"/>
    <w:rsid w:val="0094059F"/>
    <w:rsid w:val="00941C83"/>
    <w:rsid w:val="0094358C"/>
    <w:rsid w:val="00945976"/>
    <w:rsid w:val="0094720B"/>
    <w:rsid w:val="00953921"/>
    <w:rsid w:val="0095765C"/>
    <w:rsid w:val="00957A26"/>
    <w:rsid w:val="00967A02"/>
    <w:rsid w:val="00967B6C"/>
    <w:rsid w:val="00973AC3"/>
    <w:rsid w:val="009746BC"/>
    <w:rsid w:val="00974C7B"/>
    <w:rsid w:val="00975E19"/>
    <w:rsid w:val="009767FB"/>
    <w:rsid w:val="0097793D"/>
    <w:rsid w:val="00980AA9"/>
    <w:rsid w:val="00981398"/>
    <w:rsid w:val="00983F90"/>
    <w:rsid w:val="00995729"/>
    <w:rsid w:val="00995B69"/>
    <w:rsid w:val="009967DB"/>
    <w:rsid w:val="00996AA5"/>
    <w:rsid w:val="00997573"/>
    <w:rsid w:val="009A08C6"/>
    <w:rsid w:val="009A1781"/>
    <w:rsid w:val="009A37E2"/>
    <w:rsid w:val="009A3D45"/>
    <w:rsid w:val="009A735D"/>
    <w:rsid w:val="009A756F"/>
    <w:rsid w:val="009B2B7E"/>
    <w:rsid w:val="009B3A20"/>
    <w:rsid w:val="009B3DF4"/>
    <w:rsid w:val="009B40F9"/>
    <w:rsid w:val="009B4261"/>
    <w:rsid w:val="009B4F9E"/>
    <w:rsid w:val="009B5051"/>
    <w:rsid w:val="009B548D"/>
    <w:rsid w:val="009C089E"/>
    <w:rsid w:val="009C2F35"/>
    <w:rsid w:val="009C6EFA"/>
    <w:rsid w:val="009D00F2"/>
    <w:rsid w:val="009D0A8B"/>
    <w:rsid w:val="009D1E56"/>
    <w:rsid w:val="009D4967"/>
    <w:rsid w:val="009D5889"/>
    <w:rsid w:val="009E202B"/>
    <w:rsid w:val="009E4253"/>
    <w:rsid w:val="009E5AD9"/>
    <w:rsid w:val="009F0F16"/>
    <w:rsid w:val="009F452E"/>
    <w:rsid w:val="009F5D68"/>
    <w:rsid w:val="00A02A25"/>
    <w:rsid w:val="00A032D9"/>
    <w:rsid w:val="00A05E2E"/>
    <w:rsid w:val="00A102D3"/>
    <w:rsid w:val="00A13C7A"/>
    <w:rsid w:val="00A14F6E"/>
    <w:rsid w:val="00A261C7"/>
    <w:rsid w:val="00A3085C"/>
    <w:rsid w:val="00A30E4E"/>
    <w:rsid w:val="00A3326B"/>
    <w:rsid w:val="00A40C68"/>
    <w:rsid w:val="00A40D17"/>
    <w:rsid w:val="00A41C5E"/>
    <w:rsid w:val="00A41F4A"/>
    <w:rsid w:val="00A426EF"/>
    <w:rsid w:val="00A43487"/>
    <w:rsid w:val="00A462B6"/>
    <w:rsid w:val="00A50387"/>
    <w:rsid w:val="00A50C3D"/>
    <w:rsid w:val="00A54A6E"/>
    <w:rsid w:val="00A54FD2"/>
    <w:rsid w:val="00A60D46"/>
    <w:rsid w:val="00A64590"/>
    <w:rsid w:val="00A649D7"/>
    <w:rsid w:val="00A66B14"/>
    <w:rsid w:val="00A678E7"/>
    <w:rsid w:val="00A70819"/>
    <w:rsid w:val="00A71A5B"/>
    <w:rsid w:val="00A744D1"/>
    <w:rsid w:val="00A7476D"/>
    <w:rsid w:val="00A74CFB"/>
    <w:rsid w:val="00A752E6"/>
    <w:rsid w:val="00A76593"/>
    <w:rsid w:val="00A76CB8"/>
    <w:rsid w:val="00A772F8"/>
    <w:rsid w:val="00A7748E"/>
    <w:rsid w:val="00A828C7"/>
    <w:rsid w:val="00A8500B"/>
    <w:rsid w:val="00A86FD1"/>
    <w:rsid w:val="00A87BF6"/>
    <w:rsid w:val="00A92F23"/>
    <w:rsid w:val="00A9321C"/>
    <w:rsid w:val="00A934DA"/>
    <w:rsid w:val="00A971FE"/>
    <w:rsid w:val="00AA2FC8"/>
    <w:rsid w:val="00AA3ADF"/>
    <w:rsid w:val="00AB1601"/>
    <w:rsid w:val="00AB22CA"/>
    <w:rsid w:val="00AB2DE1"/>
    <w:rsid w:val="00AB32F0"/>
    <w:rsid w:val="00AC03E9"/>
    <w:rsid w:val="00AC291F"/>
    <w:rsid w:val="00AC38C0"/>
    <w:rsid w:val="00AC6EB3"/>
    <w:rsid w:val="00AD42C4"/>
    <w:rsid w:val="00AD438B"/>
    <w:rsid w:val="00AD716B"/>
    <w:rsid w:val="00AD7B06"/>
    <w:rsid w:val="00AE0219"/>
    <w:rsid w:val="00AE0601"/>
    <w:rsid w:val="00AE25B9"/>
    <w:rsid w:val="00AE2E90"/>
    <w:rsid w:val="00AE47D5"/>
    <w:rsid w:val="00AE5383"/>
    <w:rsid w:val="00AE5783"/>
    <w:rsid w:val="00AE6247"/>
    <w:rsid w:val="00AE7CCB"/>
    <w:rsid w:val="00AF3539"/>
    <w:rsid w:val="00AF705C"/>
    <w:rsid w:val="00B00861"/>
    <w:rsid w:val="00B053D0"/>
    <w:rsid w:val="00B05DF0"/>
    <w:rsid w:val="00B07FFC"/>
    <w:rsid w:val="00B10FC5"/>
    <w:rsid w:val="00B11023"/>
    <w:rsid w:val="00B12DB9"/>
    <w:rsid w:val="00B1426C"/>
    <w:rsid w:val="00B160CE"/>
    <w:rsid w:val="00B20AE9"/>
    <w:rsid w:val="00B2636F"/>
    <w:rsid w:val="00B272A9"/>
    <w:rsid w:val="00B2742C"/>
    <w:rsid w:val="00B31F5E"/>
    <w:rsid w:val="00B32B5C"/>
    <w:rsid w:val="00B33542"/>
    <w:rsid w:val="00B353CB"/>
    <w:rsid w:val="00B37296"/>
    <w:rsid w:val="00B41D25"/>
    <w:rsid w:val="00B449C2"/>
    <w:rsid w:val="00B46385"/>
    <w:rsid w:val="00B467CE"/>
    <w:rsid w:val="00B50B78"/>
    <w:rsid w:val="00B51054"/>
    <w:rsid w:val="00B51400"/>
    <w:rsid w:val="00B52AB2"/>
    <w:rsid w:val="00B602FE"/>
    <w:rsid w:val="00B61A6C"/>
    <w:rsid w:val="00B62FE7"/>
    <w:rsid w:val="00B630EB"/>
    <w:rsid w:val="00B63112"/>
    <w:rsid w:val="00B674F3"/>
    <w:rsid w:val="00B7022F"/>
    <w:rsid w:val="00B707F5"/>
    <w:rsid w:val="00B71457"/>
    <w:rsid w:val="00B715C8"/>
    <w:rsid w:val="00B73B2D"/>
    <w:rsid w:val="00B73D42"/>
    <w:rsid w:val="00B85DDB"/>
    <w:rsid w:val="00B863A3"/>
    <w:rsid w:val="00B8717B"/>
    <w:rsid w:val="00B9148E"/>
    <w:rsid w:val="00B953E0"/>
    <w:rsid w:val="00B95E66"/>
    <w:rsid w:val="00B9733C"/>
    <w:rsid w:val="00B97FC8"/>
    <w:rsid w:val="00BA0351"/>
    <w:rsid w:val="00BA1E06"/>
    <w:rsid w:val="00BA5FC1"/>
    <w:rsid w:val="00BB132F"/>
    <w:rsid w:val="00BB26FE"/>
    <w:rsid w:val="00BB4D21"/>
    <w:rsid w:val="00BB4F06"/>
    <w:rsid w:val="00BB7382"/>
    <w:rsid w:val="00BB7D06"/>
    <w:rsid w:val="00BC1183"/>
    <w:rsid w:val="00BC2AEB"/>
    <w:rsid w:val="00BD07F5"/>
    <w:rsid w:val="00BD4FCA"/>
    <w:rsid w:val="00BD7D76"/>
    <w:rsid w:val="00BE0A02"/>
    <w:rsid w:val="00BE1525"/>
    <w:rsid w:val="00BE5859"/>
    <w:rsid w:val="00BE6AF7"/>
    <w:rsid w:val="00BE6E69"/>
    <w:rsid w:val="00BE7A3D"/>
    <w:rsid w:val="00BF0386"/>
    <w:rsid w:val="00BF1BFF"/>
    <w:rsid w:val="00BF2D13"/>
    <w:rsid w:val="00BF3E13"/>
    <w:rsid w:val="00BF524E"/>
    <w:rsid w:val="00BF5893"/>
    <w:rsid w:val="00BF597B"/>
    <w:rsid w:val="00BF5B66"/>
    <w:rsid w:val="00C01887"/>
    <w:rsid w:val="00C01D50"/>
    <w:rsid w:val="00C0225A"/>
    <w:rsid w:val="00C024AE"/>
    <w:rsid w:val="00C029ED"/>
    <w:rsid w:val="00C07B6B"/>
    <w:rsid w:val="00C10E89"/>
    <w:rsid w:val="00C150CA"/>
    <w:rsid w:val="00C1555B"/>
    <w:rsid w:val="00C1675C"/>
    <w:rsid w:val="00C16D5B"/>
    <w:rsid w:val="00C176F9"/>
    <w:rsid w:val="00C220D1"/>
    <w:rsid w:val="00C2542E"/>
    <w:rsid w:val="00C26356"/>
    <w:rsid w:val="00C3099A"/>
    <w:rsid w:val="00C32BA9"/>
    <w:rsid w:val="00C34CD6"/>
    <w:rsid w:val="00C358A5"/>
    <w:rsid w:val="00C36224"/>
    <w:rsid w:val="00C43249"/>
    <w:rsid w:val="00C459BD"/>
    <w:rsid w:val="00C45E04"/>
    <w:rsid w:val="00C5020A"/>
    <w:rsid w:val="00C50716"/>
    <w:rsid w:val="00C510EA"/>
    <w:rsid w:val="00C537C5"/>
    <w:rsid w:val="00C551C5"/>
    <w:rsid w:val="00C567AB"/>
    <w:rsid w:val="00C577C1"/>
    <w:rsid w:val="00C57832"/>
    <w:rsid w:val="00C669E8"/>
    <w:rsid w:val="00C66B92"/>
    <w:rsid w:val="00C679FC"/>
    <w:rsid w:val="00C7065C"/>
    <w:rsid w:val="00C7137E"/>
    <w:rsid w:val="00C72009"/>
    <w:rsid w:val="00C745DD"/>
    <w:rsid w:val="00C75554"/>
    <w:rsid w:val="00C75BF6"/>
    <w:rsid w:val="00C76405"/>
    <w:rsid w:val="00C76B6B"/>
    <w:rsid w:val="00C7758C"/>
    <w:rsid w:val="00C77D88"/>
    <w:rsid w:val="00C80C05"/>
    <w:rsid w:val="00C81752"/>
    <w:rsid w:val="00C82232"/>
    <w:rsid w:val="00C82C34"/>
    <w:rsid w:val="00C84051"/>
    <w:rsid w:val="00C84CC4"/>
    <w:rsid w:val="00C85F56"/>
    <w:rsid w:val="00C8759C"/>
    <w:rsid w:val="00C87813"/>
    <w:rsid w:val="00C879F5"/>
    <w:rsid w:val="00C90160"/>
    <w:rsid w:val="00C9197A"/>
    <w:rsid w:val="00C91A40"/>
    <w:rsid w:val="00C92D07"/>
    <w:rsid w:val="00C934D8"/>
    <w:rsid w:val="00C968A3"/>
    <w:rsid w:val="00CA06CE"/>
    <w:rsid w:val="00CA1390"/>
    <w:rsid w:val="00CA3FAF"/>
    <w:rsid w:val="00CA684F"/>
    <w:rsid w:val="00CA6865"/>
    <w:rsid w:val="00CB08BE"/>
    <w:rsid w:val="00CB08D4"/>
    <w:rsid w:val="00CB0F23"/>
    <w:rsid w:val="00CB1F9D"/>
    <w:rsid w:val="00CB2F91"/>
    <w:rsid w:val="00CB4224"/>
    <w:rsid w:val="00CB51B4"/>
    <w:rsid w:val="00CC0D5E"/>
    <w:rsid w:val="00CC2372"/>
    <w:rsid w:val="00CC2A91"/>
    <w:rsid w:val="00CC30A0"/>
    <w:rsid w:val="00CC4465"/>
    <w:rsid w:val="00CC6428"/>
    <w:rsid w:val="00CD091B"/>
    <w:rsid w:val="00CD214E"/>
    <w:rsid w:val="00CD3E51"/>
    <w:rsid w:val="00CD7C61"/>
    <w:rsid w:val="00CD7CD2"/>
    <w:rsid w:val="00CE5D40"/>
    <w:rsid w:val="00CE7AC8"/>
    <w:rsid w:val="00CF213F"/>
    <w:rsid w:val="00CF5356"/>
    <w:rsid w:val="00CF543F"/>
    <w:rsid w:val="00CF6C98"/>
    <w:rsid w:val="00D01A1E"/>
    <w:rsid w:val="00D01E77"/>
    <w:rsid w:val="00D02E91"/>
    <w:rsid w:val="00D076C1"/>
    <w:rsid w:val="00D107E1"/>
    <w:rsid w:val="00D12386"/>
    <w:rsid w:val="00D13518"/>
    <w:rsid w:val="00D137E1"/>
    <w:rsid w:val="00D14401"/>
    <w:rsid w:val="00D16263"/>
    <w:rsid w:val="00D24FA0"/>
    <w:rsid w:val="00D26F2F"/>
    <w:rsid w:val="00D27624"/>
    <w:rsid w:val="00D3178D"/>
    <w:rsid w:val="00D32F0E"/>
    <w:rsid w:val="00D33062"/>
    <w:rsid w:val="00D34943"/>
    <w:rsid w:val="00D349C0"/>
    <w:rsid w:val="00D367FD"/>
    <w:rsid w:val="00D407D1"/>
    <w:rsid w:val="00D46CDA"/>
    <w:rsid w:val="00D479AC"/>
    <w:rsid w:val="00D51D72"/>
    <w:rsid w:val="00D5338E"/>
    <w:rsid w:val="00D5703A"/>
    <w:rsid w:val="00D57769"/>
    <w:rsid w:val="00D5794D"/>
    <w:rsid w:val="00D62720"/>
    <w:rsid w:val="00D633D2"/>
    <w:rsid w:val="00D63BD1"/>
    <w:rsid w:val="00D63E55"/>
    <w:rsid w:val="00D65639"/>
    <w:rsid w:val="00D75464"/>
    <w:rsid w:val="00D804AB"/>
    <w:rsid w:val="00D82001"/>
    <w:rsid w:val="00D86019"/>
    <w:rsid w:val="00D86B4B"/>
    <w:rsid w:val="00D87B5B"/>
    <w:rsid w:val="00D93DB3"/>
    <w:rsid w:val="00D954C5"/>
    <w:rsid w:val="00D96312"/>
    <w:rsid w:val="00D96495"/>
    <w:rsid w:val="00D964E1"/>
    <w:rsid w:val="00DA0CF1"/>
    <w:rsid w:val="00DA2D8B"/>
    <w:rsid w:val="00DA3B82"/>
    <w:rsid w:val="00DA570D"/>
    <w:rsid w:val="00DB4D7C"/>
    <w:rsid w:val="00DB5F27"/>
    <w:rsid w:val="00DB5FFC"/>
    <w:rsid w:val="00DC04D0"/>
    <w:rsid w:val="00DC08F0"/>
    <w:rsid w:val="00DC308F"/>
    <w:rsid w:val="00DC65F0"/>
    <w:rsid w:val="00DC7A35"/>
    <w:rsid w:val="00DD3AC2"/>
    <w:rsid w:val="00DD3AEA"/>
    <w:rsid w:val="00DE13DC"/>
    <w:rsid w:val="00DE1E3F"/>
    <w:rsid w:val="00DE24B9"/>
    <w:rsid w:val="00DE2A2E"/>
    <w:rsid w:val="00DE2B59"/>
    <w:rsid w:val="00DE2F88"/>
    <w:rsid w:val="00DE3330"/>
    <w:rsid w:val="00DE34B5"/>
    <w:rsid w:val="00DE4057"/>
    <w:rsid w:val="00DE566B"/>
    <w:rsid w:val="00DE59F1"/>
    <w:rsid w:val="00DE6104"/>
    <w:rsid w:val="00DE65C6"/>
    <w:rsid w:val="00DF08BF"/>
    <w:rsid w:val="00DF1FC1"/>
    <w:rsid w:val="00E00C6D"/>
    <w:rsid w:val="00E02A92"/>
    <w:rsid w:val="00E042DC"/>
    <w:rsid w:val="00E05036"/>
    <w:rsid w:val="00E06537"/>
    <w:rsid w:val="00E067BA"/>
    <w:rsid w:val="00E06C0B"/>
    <w:rsid w:val="00E06F87"/>
    <w:rsid w:val="00E146B0"/>
    <w:rsid w:val="00E209D9"/>
    <w:rsid w:val="00E21F69"/>
    <w:rsid w:val="00E21FBD"/>
    <w:rsid w:val="00E250B4"/>
    <w:rsid w:val="00E25C3A"/>
    <w:rsid w:val="00E26C8A"/>
    <w:rsid w:val="00E270B8"/>
    <w:rsid w:val="00E304BE"/>
    <w:rsid w:val="00E31FFD"/>
    <w:rsid w:val="00E35CF4"/>
    <w:rsid w:val="00E417C3"/>
    <w:rsid w:val="00E4365E"/>
    <w:rsid w:val="00E446EE"/>
    <w:rsid w:val="00E51321"/>
    <w:rsid w:val="00E513C8"/>
    <w:rsid w:val="00E52A96"/>
    <w:rsid w:val="00E53D68"/>
    <w:rsid w:val="00E56603"/>
    <w:rsid w:val="00E63821"/>
    <w:rsid w:val="00E6453F"/>
    <w:rsid w:val="00E64F23"/>
    <w:rsid w:val="00E65DC1"/>
    <w:rsid w:val="00E70CFF"/>
    <w:rsid w:val="00E727EA"/>
    <w:rsid w:val="00E748D1"/>
    <w:rsid w:val="00E7491F"/>
    <w:rsid w:val="00E74C5C"/>
    <w:rsid w:val="00E81536"/>
    <w:rsid w:val="00E818E6"/>
    <w:rsid w:val="00E81B92"/>
    <w:rsid w:val="00E8373A"/>
    <w:rsid w:val="00E839E3"/>
    <w:rsid w:val="00E83FD3"/>
    <w:rsid w:val="00E84E21"/>
    <w:rsid w:val="00E85E2B"/>
    <w:rsid w:val="00E86CF2"/>
    <w:rsid w:val="00E96034"/>
    <w:rsid w:val="00E9614A"/>
    <w:rsid w:val="00EA06BE"/>
    <w:rsid w:val="00EA1C05"/>
    <w:rsid w:val="00EA4AED"/>
    <w:rsid w:val="00EA4D83"/>
    <w:rsid w:val="00EA61A8"/>
    <w:rsid w:val="00EA621E"/>
    <w:rsid w:val="00EA6915"/>
    <w:rsid w:val="00EA6B55"/>
    <w:rsid w:val="00EA6D57"/>
    <w:rsid w:val="00EA6E84"/>
    <w:rsid w:val="00EA76C0"/>
    <w:rsid w:val="00EB1010"/>
    <w:rsid w:val="00EB2804"/>
    <w:rsid w:val="00EB30A2"/>
    <w:rsid w:val="00EB5175"/>
    <w:rsid w:val="00EB552F"/>
    <w:rsid w:val="00EB6CED"/>
    <w:rsid w:val="00EB79B8"/>
    <w:rsid w:val="00EC5A96"/>
    <w:rsid w:val="00EC6BFE"/>
    <w:rsid w:val="00ED001D"/>
    <w:rsid w:val="00ED45E2"/>
    <w:rsid w:val="00ED7E29"/>
    <w:rsid w:val="00EE0474"/>
    <w:rsid w:val="00EE0E9E"/>
    <w:rsid w:val="00EE12BD"/>
    <w:rsid w:val="00EE2687"/>
    <w:rsid w:val="00EF549E"/>
    <w:rsid w:val="00F0371C"/>
    <w:rsid w:val="00F053E1"/>
    <w:rsid w:val="00F0612B"/>
    <w:rsid w:val="00F06D3C"/>
    <w:rsid w:val="00F06F73"/>
    <w:rsid w:val="00F10CAE"/>
    <w:rsid w:val="00F10EE2"/>
    <w:rsid w:val="00F12E39"/>
    <w:rsid w:val="00F16E81"/>
    <w:rsid w:val="00F20A01"/>
    <w:rsid w:val="00F2245B"/>
    <w:rsid w:val="00F22B02"/>
    <w:rsid w:val="00F24133"/>
    <w:rsid w:val="00F25A4E"/>
    <w:rsid w:val="00F25F3C"/>
    <w:rsid w:val="00F25FDF"/>
    <w:rsid w:val="00F268DA"/>
    <w:rsid w:val="00F27756"/>
    <w:rsid w:val="00F30829"/>
    <w:rsid w:val="00F32032"/>
    <w:rsid w:val="00F33F64"/>
    <w:rsid w:val="00F35253"/>
    <w:rsid w:val="00F35306"/>
    <w:rsid w:val="00F3629E"/>
    <w:rsid w:val="00F410E3"/>
    <w:rsid w:val="00F4186A"/>
    <w:rsid w:val="00F426CE"/>
    <w:rsid w:val="00F438D0"/>
    <w:rsid w:val="00F4640E"/>
    <w:rsid w:val="00F52049"/>
    <w:rsid w:val="00F54286"/>
    <w:rsid w:val="00F547B8"/>
    <w:rsid w:val="00F56A77"/>
    <w:rsid w:val="00F57F20"/>
    <w:rsid w:val="00F626F6"/>
    <w:rsid w:val="00F64940"/>
    <w:rsid w:val="00F670AA"/>
    <w:rsid w:val="00F71B6E"/>
    <w:rsid w:val="00F73118"/>
    <w:rsid w:val="00F73764"/>
    <w:rsid w:val="00F76A47"/>
    <w:rsid w:val="00F76A4D"/>
    <w:rsid w:val="00F77353"/>
    <w:rsid w:val="00F81418"/>
    <w:rsid w:val="00F8250C"/>
    <w:rsid w:val="00F82674"/>
    <w:rsid w:val="00F842C3"/>
    <w:rsid w:val="00F8485B"/>
    <w:rsid w:val="00F86210"/>
    <w:rsid w:val="00F870AB"/>
    <w:rsid w:val="00F90A5F"/>
    <w:rsid w:val="00F9444B"/>
    <w:rsid w:val="00F94520"/>
    <w:rsid w:val="00F94B2A"/>
    <w:rsid w:val="00F960AE"/>
    <w:rsid w:val="00FA0A42"/>
    <w:rsid w:val="00FA0CF1"/>
    <w:rsid w:val="00FA20E5"/>
    <w:rsid w:val="00FA45EC"/>
    <w:rsid w:val="00FA6077"/>
    <w:rsid w:val="00FA7B8F"/>
    <w:rsid w:val="00FB4639"/>
    <w:rsid w:val="00FB5F9B"/>
    <w:rsid w:val="00FB724E"/>
    <w:rsid w:val="00FC0C63"/>
    <w:rsid w:val="00FC27E6"/>
    <w:rsid w:val="00FC5384"/>
    <w:rsid w:val="00FD26A8"/>
    <w:rsid w:val="00FD2D0F"/>
    <w:rsid w:val="00FD419F"/>
    <w:rsid w:val="00FD73A0"/>
    <w:rsid w:val="00FD7645"/>
    <w:rsid w:val="00FD7747"/>
    <w:rsid w:val="00FD7F98"/>
    <w:rsid w:val="00FE02EE"/>
    <w:rsid w:val="00FE4FD8"/>
    <w:rsid w:val="00FF2D8F"/>
    <w:rsid w:val="00FF6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E623"/>
  <w15:chartTrackingRefBased/>
  <w15:docId w15:val="{C42F11E3-50DA-4835-AAE0-6BBCD413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BE"/>
    <w:pPr>
      <w:spacing w:after="0" w:line="240" w:lineRule="auto"/>
    </w:pPr>
    <w:rPr>
      <w:sz w:val="24"/>
      <w:szCs w:val="24"/>
    </w:rPr>
  </w:style>
  <w:style w:type="paragraph" w:styleId="Heading1">
    <w:name w:val="heading 1"/>
    <w:basedOn w:val="Normal"/>
    <w:next w:val="Normal"/>
    <w:link w:val="Heading1Char"/>
    <w:uiPriority w:val="9"/>
    <w:qFormat/>
    <w:rsid w:val="005A69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7FF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8BE"/>
    <w:pPr>
      <w:ind w:left="720"/>
      <w:contextualSpacing/>
    </w:pPr>
  </w:style>
  <w:style w:type="character" w:styleId="CommentReference">
    <w:name w:val="annotation reference"/>
    <w:basedOn w:val="DefaultParagraphFont"/>
    <w:uiPriority w:val="99"/>
    <w:semiHidden/>
    <w:unhideWhenUsed/>
    <w:rsid w:val="00CB08BE"/>
    <w:rPr>
      <w:sz w:val="16"/>
      <w:szCs w:val="16"/>
    </w:rPr>
  </w:style>
  <w:style w:type="paragraph" w:styleId="CommentText">
    <w:name w:val="annotation text"/>
    <w:basedOn w:val="Normal"/>
    <w:link w:val="CommentTextChar"/>
    <w:uiPriority w:val="99"/>
    <w:unhideWhenUsed/>
    <w:rsid w:val="00CB08BE"/>
    <w:rPr>
      <w:rFonts w:ascii="Lato" w:hAnsi="Lato" w:cs="Times New Roman (Body CS)"/>
      <w:sz w:val="20"/>
      <w:szCs w:val="20"/>
    </w:rPr>
  </w:style>
  <w:style w:type="character" w:customStyle="1" w:styleId="CommentTextChar">
    <w:name w:val="Comment Text Char"/>
    <w:basedOn w:val="DefaultParagraphFont"/>
    <w:link w:val="CommentText"/>
    <w:uiPriority w:val="99"/>
    <w:rsid w:val="00CB08BE"/>
    <w:rPr>
      <w:rFonts w:ascii="Lato" w:hAnsi="Lato" w:cs="Times New Roman (Body CS)"/>
      <w:sz w:val="20"/>
      <w:szCs w:val="20"/>
    </w:rPr>
  </w:style>
  <w:style w:type="character" w:styleId="Hyperlink">
    <w:name w:val="Hyperlink"/>
    <w:basedOn w:val="DefaultParagraphFont"/>
    <w:uiPriority w:val="99"/>
    <w:unhideWhenUsed/>
    <w:rsid w:val="00CB08B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2027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220270"/>
    <w:rPr>
      <w:rFonts w:ascii="Lato" w:hAnsi="Lato" w:cs="Times New Roman (Body CS)"/>
      <w:b/>
      <w:bCs/>
      <w:sz w:val="20"/>
      <w:szCs w:val="20"/>
    </w:rPr>
  </w:style>
  <w:style w:type="character" w:customStyle="1" w:styleId="1">
    <w:name w:val="未处理的提及1"/>
    <w:basedOn w:val="DefaultParagraphFont"/>
    <w:uiPriority w:val="99"/>
    <w:unhideWhenUsed/>
    <w:rsid w:val="00844D57"/>
    <w:rPr>
      <w:color w:val="605E5C"/>
      <w:shd w:val="clear" w:color="auto" w:fill="E1DFDD"/>
    </w:rPr>
  </w:style>
  <w:style w:type="paragraph" w:styleId="Header">
    <w:name w:val="header"/>
    <w:basedOn w:val="Normal"/>
    <w:link w:val="HeaderChar"/>
    <w:uiPriority w:val="99"/>
    <w:unhideWhenUsed/>
    <w:rsid w:val="003A6318"/>
    <w:pPr>
      <w:tabs>
        <w:tab w:val="center" w:pos="4680"/>
        <w:tab w:val="right" w:pos="9360"/>
      </w:tabs>
    </w:pPr>
  </w:style>
  <w:style w:type="character" w:customStyle="1" w:styleId="HeaderChar">
    <w:name w:val="Header Char"/>
    <w:basedOn w:val="DefaultParagraphFont"/>
    <w:link w:val="Header"/>
    <w:uiPriority w:val="99"/>
    <w:rsid w:val="003A6318"/>
    <w:rPr>
      <w:sz w:val="24"/>
      <w:szCs w:val="24"/>
    </w:rPr>
  </w:style>
  <w:style w:type="paragraph" w:styleId="Footer">
    <w:name w:val="footer"/>
    <w:basedOn w:val="Normal"/>
    <w:link w:val="FooterChar"/>
    <w:uiPriority w:val="99"/>
    <w:unhideWhenUsed/>
    <w:rsid w:val="003A6318"/>
    <w:pPr>
      <w:tabs>
        <w:tab w:val="center" w:pos="4680"/>
        <w:tab w:val="right" w:pos="9360"/>
      </w:tabs>
    </w:pPr>
  </w:style>
  <w:style w:type="character" w:customStyle="1" w:styleId="FooterChar">
    <w:name w:val="Footer Char"/>
    <w:basedOn w:val="DefaultParagraphFont"/>
    <w:link w:val="Footer"/>
    <w:uiPriority w:val="99"/>
    <w:rsid w:val="003A6318"/>
    <w:rPr>
      <w:sz w:val="24"/>
      <w:szCs w:val="24"/>
    </w:rPr>
  </w:style>
  <w:style w:type="table" w:styleId="TableGrid">
    <w:name w:val="Table Grid"/>
    <w:basedOn w:val="TableNormal"/>
    <w:uiPriority w:val="39"/>
    <w:rsid w:val="00103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039E"/>
    <w:rPr>
      <w:color w:val="954F72" w:themeColor="followedHyperlink"/>
      <w:u w:val="single"/>
    </w:rPr>
  </w:style>
  <w:style w:type="character" w:customStyle="1" w:styleId="10">
    <w:name w:val="@他1"/>
    <w:basedOn w:val="DefaultParagraphFont"/>
    <w:uiPriority w:val="99"/>
    <w:unhideWhenUsed/>
    <w:rsid w:val="00B00861"/>
    <w:rPr>
      <w:color w:val="2B579A"/>
      <w:shd w:val="clear" w:color="auto" w:fill="E1DFDD"/>
    </w:rPr>
  </w:style>
  <w:style w:type="character" w:customStyle="1" w:styleId="Heading1Char">
    <w:name w:val="Heading 1 Char"/>
    <w:basedOn w:val="DefaultParagraphFont"/>
    <w:link w:val="Heading1"/>
    <w:uiPriority w:val="9"/>
    <w:rsid w:val="005A69A4"/>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D13518"/>
    <w:pPr>
      <w:spacing w:after="200"/>
    </w:pPr>
    <w:rPr>
      <w:i/>
      <w:iCs/>
      <w:color w:val="44546A" w:themeColor="text2"/>
      <w:sz w:val="18"/>
      <w:szCs w:val="18"/>
    </w:rPr>
  </w:style>
  <w:style w:type="paragraph" w:styleId="Revision">
    <w:name w:val="Revision"/>
    <w:hidden/>
    <w:uiPriority w:val="99"/>
    <w:semiHidden/>
    <w:rsid w:val="00A102D3"/>
    <w:pPr>
      <w:spacing w:after="0" w:line="240" w:lineRule="auto"/>
    </w:pPr>
    <w:rPr>
      <w:sz w:val="24"/>
      <w:szCs w:val="24"/>
    </w:rPr>
  </w:style>
  <w:style w:type="character" w:customStyle="1" w:styleId="UnresolvedMention1">
    <w:name w:val="Unresolved Mention1"/>
    <w:basedOn w:val="DefaultParagraphFont"/>
    <w:uiPriority w:val="99"/>
    <w:semiHidden/>
    <w:unhideWhenUsed/>
    <w:rsid w:val="00861220"/>
    <w:rPr>
      <w:color w:val="605E5C"/>
      <w:shd w:val="clear" w:color="auto" w:fill="E1DFDD"/>
    </w:rPr>
  </w:style>
  <w:style w:type="paragraph" w:styleId="BalloonText">
    <w:name w:val="Balloon Text"/>
    <w:basedOn w:val="Normal"/>
    <w:link w:val="BalloonTextChar"/>
    <w:uiPriority w:val="99"/>
    <w:semiHidden/>
    <w:unhideWhenUsed/>
    <w:rsid w:val="00B3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42"/>
    <w:rPr>
      <w:rFonts w:ascii="Segoe UI" w:hAnsi="Segoe UI" w:cs="Segoe UI"/>
      <w:sz w:val="18"/>
      <w:szCs w:val="18"/>
    </w:rPr>
  </w:style>
  <w:style w:type="paragraph" w:styleId="HTMLPreformatted">
    <w:name w:val="HTML Preformatted"/>
    <w:basedOn w:val="Normal"/>
    <w:link w:val="HTMLPreformattedChar"/>
    <w:uiPriority w:val="99"/>
    <w:semiHidden/>
    <w:unhideWhenUsed/>
    <w:rsid w:val="00BB26F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26FE"/>
    <w:rPr>
      <w:rFonts w:ascii="Consolas" w:hAnsi="Consolas"/>
      <w:sz w:val="20"/>
      <w:szCs w:val="20"/>
    </w:rPr>
  </w:style>
  <w:style w:type="character" w:styleId="UnresolvedMention">
    <w:name w:val="Unresolved Mention"/>
    <w:basedOn w:val="DefaultParagraphFont"/>
    <w:uiPriority w:val="99"/>
    <w:semiHidden/>
    <w:unhideWhenUsed/>
    <w:rsid w:val="00874901"/>
    <w:rPr>
      <w:color w:val="605E5C"/>
      <w:shd w:val="clear" w:color="auto" w:fill="E1DFDD"/>
    </w:rPr>
  </w:style>
  <w:style w:type="character" w:customStyle="1" w:styleId="Heading2Char">
    <w:name w:val="Heading 2 Char"/>
    <w:basedOn w:val="DefaultParagraphFont"/>
    <w:link w:val="Heading2"/>
    <w:uiPriority w:val="9"/>
    <w:semiHidden/>
    <w:rsid w:val="00567F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1785">
      <w:bodyDiv w:val="1"/>
      <w:marLeft w:val="0"/>
      <w:marRight w:val="0"/>
      <w:marTop w:val="0"/>
      <w:marBottom w:val="0"/>
      <w:divBdr>
        <w:top w:val="none" w:sz="0" w:space="0" w:color="auto"/>
        <w:left w:val="none" w:sz="0" w:space="0" w:color="auto"/>
        <w:bottom w:val="none" w:sz="0" w:space="0" w:color="auto"/>
        <w:right w:val="none" w:sz="0" w:space="0" w:color="auto"/>
      </w:divBdr>
    </w:div>
    <w:div w:id="498958310">
      <w:bodyDiv w:val="1"/>
      <w:marLeft w:val="0"/>
      <w:marRight w:val="0"/>
      <w:marTop w:val="0"/>
      <w:marBottom w:val="0"/>
      <w:divBdr>
        <w:top w:val="none" w:sz="0" w:space="0" w:color="auto"/>
        <w:left w:val="none" w:sz="0" w:space="0" w:color="auto"/>
        <w:bottom w:val="none" w:sz="0" w:space="0" w:color="auto"/>
        <w:right w:val="none" w:sz="0" w:space="0" w:color="auto"/>
      </w:divBdr>
      <w:divsChild>
        <w:div w:id="1407343151">
          <w:marLeft w:val="0"/>
          <w:marRight w:val="0"/>
          <w:marTop w:val="100"/>
          <w:marBottom w:val="0"/>
          <w:divBdr>
            <w:top w:val="none" w:sz="0" w:space="0" w:color="auto"/>
            <w:left w:val="none" w:sz="0" w:space="0" w:color="auto"/>
            <w:bottom w:val="none" w:sz="0" w:space="0" w:color="auto"/>
            <w:right w:val="none" w:sz="0" w:space="0" w:color="auto"/>
          </w:divBdr>
        </w:div>
        <w:div w:id="1372725531">
          <w:marLeft w:val="0"/>
          <w:marRight w:val="0"/>
          <w:marTop w:val="0"/>
          <w:marBottom w:val="0"/>
          <w:divBdr>
            <w:top w:val="none" w:sz="0" w:space="0" w:color="auto"/>
            <w:left w:val="none" w:sz="0" w:space="0" w:color="auto"/>
            <w:bottom w:val="none" w:sz="0" w:space="0" w:color="auto"/>
            <w:right w:val="none" w:sz="0" w:space="0" w:color="auto"/>
          </w:divBdr>
          <w:divsChild>
            <w:div w:id="1192767517">
              <w:marLeft w:val="0"/>
              <w:marRight w:val="0"/>
              <w:marTop w:val="0"/>
              <w:marBottom w:val="0"/>
              <w:divBdr>
                <w:top w:val="none" w:sz="0" w:space="0" w:color="auto"/>
                <w:left w:val="none" w:sz="0" w:space="0" w:color="auto"/>
                <w:bottom w:val="none" w:sz="0" w:space="0" w:color="auto"/>
                <w:right w:val="none" w:sz="0" w:space="0" w:color="auto"/>
              </w:divBdr>
              <w:divsChild>
                <w:div w:id="13772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3685">
      <w:bodyDiv w:val="1"/>
      <w:marLeft w:val="0"/>
      <w:marRight w:val="0"/>
      <w:marTop w:val="0"/>
      <w:marBottom w:val="0"/>
      <w:divBdr>
        <w:top w:val="none" w:sz="0" w:space="0" w:color="auto"/>
        <w:left w:val="none" w:sz="0" w:space="0" w:color="auto"/>
        <w:bottom w:val="none" w:sz="0" w:space="0" w:color="auto"/>
        <w:right w:val="none" w:sz="0" w:space="0" w:color="auto"/>
      </w:divBdr>
    </w:div>
    <w:div w:id="743143189">
      <w:bodyDiv w:val="1"/>
      <w:marLeft w:val="0"/>
      <w:marRight w:val="0"/>
      <w:marTop w:val="0"/>
      <w:marBottom w:val="0"/>
      <w:divBdr>
        <w:top w:val="none" w:sz="0" w:space="0" w:color="auto"/>
        <w:left w:val="none" w:sz="0" w:space="0" w:color="auto"/>
        <w:bottom w:val="none" w:sz="0" w:space="0" w:color="auto"/>
        <w:right w:val="none" w:sz="0" w:space="0" w:color="auto"/>
      </w:divBdr>
      <w:divsChild>
        <w:div w:id="1481264599">
          <w:marLeft w:val="0"/>
          <w:marRight w:val="0"/>
          <w:marTop w:val="0"/>
          <w:marBottom w:val="0"/>
          <w:divBdr>
            <w:top w:val="none" w:sz="0" w:space="0" w:color="auto"/>
            <w:left w:val="none" w:sz="0" w:space="0" w:color="auto"/>
            <w:bottom w:val="none" w:sz="0" w:space="0" w:color="auto"/>
            <w:right w:val="none" w:sz="0" w:space="0" w:color="auto"/>
          </w:divBdr>
          <w:divsChild>
            <w:div w:id="685255462">
              <w:marLeft w:val="0"/>
              <w:marRight w:val="0"/>
              <w:marTop w:val="0"/>
              <w:marBottom w:val="0"/>
              <w:divBdr>
                <w:top w:val="none" w:sz="0" w:space="0" w:color="auto"/>
                <w:left w:val="none" w:sz="0" w:space="0" w:color="auto"/>
                <w:bottom w:val="none" w:sz="0" w:space="0" w:color="auto"/>
                <w:right w:val="none" w:sz="0" w:space="0" w:color="auto"/>
              </w:divBdr>
              <w:divsChild>
                <w:div w:id="2008945580">
                  <w:marLeft w:val="0"/>
                  <w:marRight w:val="0"/>
                  <w:marTop w:val="0"/>
                  <w:marBottom w:val="0"/>
                  <w:divBdr>
                    <w:top w:val="none" w:sz="0" w:space="0" w:color="auto"/>
                    <w:left w:val="none" w:sz="0" w:space="0" w:color="auto"/>
                    <w:bottom w:val="none" w:sz="0" w:space="0" w:color="auto"/>
                    <w:right w:val="none" w:sz="0" w:space="0" w:color="auto"/>
                  </w:divBdr>
                  <w:divsChild>
                    <w:div w:id="1482163083">
                      <w:marLeft w:val="0"/>
                      <w:marRight w:val="0"/>
                      <w:marTop w:val="0"/>
                      <w:marBottom w:val="0"/>
                      <w:divBdr>
                        <w:top w:val="none" w:sz="0" w:space="0" w:color="auto"/>
                        <w:left w:val="none" w:sz="0" w:space="0" w:color="auto"/>
                        <w:bottom w:val="none" w:sz="0" w:space="0" w:color="auto"/>
                        <w:right w:val="none" w:sz="0" w:space="0" w:color="auto"/>
                      </w:divBdr>
                      <w:divsChild>
                        <w:div w:id="677004685">
                          <w:marLeft w:val="0"/>
                          <w:marRight w:val="0"/>
                          <w:marTop w:val="0"/>
                          <w:marBottom w:val="0"/>
                          <w:divBdr>
                            <w:top w:val="none" w:sz="0" w:space="0" w:color="auto"/>
                            <w:left w:val="none" w:sz="0" w:space="0" w:color="auto"/>
                            <w:bottom w:val="none" w:sz="0" w:space="0" w:color="auto"/>
                            <w:right w:val="none" w:sz="0" w:space="0" w:color="auto"/>
                          </w:divBdr>
                          <w:divsChild>
                            <w:div w:id="993948724">
                              <w:marLeft w:val="0"/>
                              <w:marRight w:val="0"/>
                              <w:marTop w:val="0"/>
                              <w:marBottom w:val="0"/>
                              <w:divBdr>
                                <w:top w:val="none" w:sz="0" w:space="0" w:color="auto"/>
                                <w:left w:val="none" w:sz="0" w:space="0" w:color="auto"/>
                                <w:bottom w:val="none" w:sz="0" w:space="0" w:color="auto"/>
                                <w:right w:val="none" w:sz="0" w:space="0" w:color="auto"/>
                              </w:divBdr>
                              <w:divsChild>
                                <w:div w:id="432826764">
                                  <w:marLeft w:val="0"/>
                                  <w:marRight w:val="0"/>
                                  <w:marTop w:val="0"/>
                                  <w:marBottom w:val="0"/>
                                  <w:divBdr>
                                    <w:top w:val="none" w:sz="0" w:space="0" w:color="auto"/>
                                    <w:left w:val="none" w:sz="0" w:space="0" w:color="auto"/>
                                    <w:bottom w:val="none" w:sz="0" w:space="0" w:color="auto"/>
                                    <w:right w:val="none" w:sz="0" w:space="0" w:color="auto"/>
                                  </w:divBdr>
                                  <w:divsChild>
                                    <w:div w:id="413358148">
                                      <w:marLeft w:val="0"/>
                                      <w:marRight w:val="0"/>
                                      <w:marTop w:val="0"/>
                                      <w:marBottom w:val="0"/>
                                      <w:divBdr>
                                        <w:top w:val="none" w:sz="0" w:space="0" w:color="auto"/>
                                        <w:left w:val="none" w:sz="0" w:space="0" w:color="auto"/>
                                        <w:bottom w:val="none" w:sz="0" w:space="0" w:color="auto"/>
                                        <w:right w:val="none" w:sz="0" w:space="0" w:color="auto"/>
                                      </w:divBdr>
                                    </w:div>
                                    <w:div w:id="620764469">
                                      <w:marLeft w:val="0"/>
                                      <w:marRight w:val="0"/>
                                      <w:marTop w:val="0"/>
                                      <w:marBottom w:val="0"/>
                                      <w:divBdr>
                                        <w:top w:val="none" w:sz="0" w:space="0" w:color="auto"/>
                                        <w:left w:val="none" w:sz="0" w:space="0" w:color="auto"/>
                                        <w:bottom w:val="none" w:sz="0" w:space="0" w:color="auto"/>
                                        <w:right w:val="none" w:sz="0" w:space="0" w:color="auto"/>
                                      </w:divBdr>
                                      <w:divsChild>
                                        <w:div w:id="9769669">
                                          <w:marLeft w:val="0"/>
                                          <w:marRight w:val="165"/>
                                          <w:marTop w:val="150"/>
                                          <w:marBottom w:val="0"/>
                                          <w:divBdr>
                                            <w:top w:val="none" w:sz="0" w:space="0" w:color="auto"/>
                                            <w:left w:val="none" w:sz="0" w:space="0" w:color="auto"/>
                                            <w:bottom w:val="none" w:sz="0" w:space="0" w:color="auto"/>
                                            <w:right w:val="none" w:sz="0" w:space="0" w:color="auto"/>
                                          </w:divBdr>
                                          <w:divsChild>
                                            <w:div w:id="1736589243">
                                              <w:marLeft w:val="0"/>
                                              <w:marRight w:val="0"/>
                                              <w:marTop w:val="0"/>
                                              <w:marBottom w:val="0"/>
                                              <w:divBdr>
                                                <w:top w:val="none" w:sz="0" w:space="0" w:color="auto"/>
                                                <w:left w:val="none" w:sz="0" w:space="0" w:color="auto"/>
                                                <w:bottom w:val="none" w:sz="0" w:space="0" w:color="auto"/>
                                                <w:right w:val="none" w:sz="0" w:space="0" w:color="auto"/>
                                              </w:divBdr>
                                              <w:divsChild>
                                                <w:div w:id="10015908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307541">
      <w:bodyDiv w:val="1"/>
      <w:marLeft w:val="0"/>
      <w:marRight w:val="0"/>
      <w:marTop w:val="0"/>
      <w:marBottom w:val="0"/>
      <w:divBdr>
        <w:top w:val="none" w:sz="0" w:space="0" w:color="auto"/>
        <w:left w:val="none" w:sz="0" w:space="0" w:color="auto"/>
        <w:bottom w:val="none" w:sz="0" w:space="0" w:color="auto"/>
        <w:right w:val="none" w:sz="0" w:space="0" w:color="auto"/>
      </w:divBdr>
    </w:div>
    <w:div w:id="775291181">
      <w:bodyDiv w:val="1"/>
      <w:marLeft w:val="0"/>
      <w:marRight w:val="0"/>
      <w:marTop w:val="0"/>
      <w:marBottom w:val="0"/>
      <w:divBdr>
        <w:top w:val="none" w:sz="0" w:space="0" w:color="auto"/>
        <w:left w:val="none" w:sz="0" w:space="0" w:color="auto"/>
        <w:bottom w:val="none" w:sz="0" w:space="0" w:color="auto"/>
        <w:right w:val="none" w:sz="0" w:space="0" w:color="auto"/>
      </w:divBdr>
    </w:div>
    <w:div w:id="1018508214">
      <w:bodyDiv w:val="1"/>
      <w:marLeft w:val="0"/>
      <w:marRight w:val="0"/>
      <w:marTop w:val="0"/>
      <w:marBottom w:val="0"/>
      <w:divBdr>
        <w:top w:val="none" w:sz="0" w:space="0" w:color="auto"/>
        <w:left w:val="none" w:sz="0" w:space="0" w:color="auto"/>
        <w:bottom w:val="none" w:sz="0" w:space="0" w:color="auto"/>
        <w:right w:val="none" w:sz="0" w:space="0" w:color="auto"/>
      </w:divBdr>
    </w:div>
    <w:div w:id="1028332399">
      <w:bodyDiv w:val="1"/>
      <w:marLeft w:val="0"/>
      <w:marRight w:val="0"/>
      <w:marTop w:val="0"/>
      <w:marBottom w:val="0"/>
      <w:divBdr>
        <w:top w:val="none" w:sz="0" w:space="0" w:color="auto"/>
        <w:left w:val="none" w:sz="0" w:space="0" w:color="auto"/>
        <w:bottom w:val="none" w:sz="0" w:space="0" w:color="auto"/>
        <w:right w:val="none" w:sz="0" w:space="0" w:color="auto"/>
      </w:divBdr>
    </w:div>
    <w:div w:id="1032537703">
      <w:bodyDiv w:val="1"/>
      <w:marLeft w:val="0"/>
      <w:marRight w:val="0"/>
      <w:marTop w:val="0"/>
      <w:marBottom w:val="0"/>
      <w:divBdr>
        <w:top w:val="none" w:sz="0" w:space="0" w:color="auto"/>
        <w:left w:val="none" w:sz="0" w:space="0" w:color="auto"/>
        <w:bottom w:val="none" w:sz="0" w:space="0" w:color="auto"/>
        <w:right w:val="none" w:sz="0" w:space="0" w:color="auto"/>
      </w:divBdr>
      <w:divsChild>
        <w:div w:id="954168301">
          <w:marLeft w:val="0"/>
          <w:marRight w:val="0"/>
          <w:marTop w:val="0"/>
          <w:marBottom w:val="0"/>
          <w:divBdr>
            <w:top w:val="none" w:sz="0" w:space="0" w:color="auto"/>
            <w:left w:val="none" w:sz="0" w:space="0" w:color="auto"/>
            <w:bottom w:val="none" w:sz="0" w:space="0" w:color="auto"/>
            <w:right w:val="none" w:sz="0" w:space="0" w:color="auto"/>
          </w:divBdr>
          <w:divsChild>
            <w:div w:id="553473051">
              <w:marLeft w:val="0"/>
              <w:marRight w:val="0"/>
              <w:marTop w:val="0"/>
              <w:marBottom w:val="0"/>
              <w:divBdr>
                <w:top w:val="none" w:sz="0" w:space="0" w:color="auto"/>
                <w:left w:val="none" w:sz="0" w:space="0" w:color="auto"/>
                <w:bottom w:val="none" w:sz="0" w:space="0" w:color="auto"/>
                <w:right w:val="none" w:sz="0" w:space="0" w:color="auto"/>
              </w:divBdr>
              <w:divsChild>
                <w:div w:id="2102797245">
                  <w:marLeft w:val="0"/>
                  <w:marRight w:val="0"/>
                  <w:marTop w:val="0"/>
                  <w:marBottom w:val="0"/>
                  <w:divBdr>
                    <w:top w:val="none" w:sz="0" w:space="0" w:color="auto"/>
                    <w:left w:val="none" w:sz="0" w:space="0" w:color="auto"/>
                    <w:bottom w:val="none" w:sz="0" w:space="0" w:color="auto"/>
                    <w:right w:val="none" w:sz="0" w:space="0" w:color="auto"/>
                  </w:divBdr>
                  <w:divsChild>
                    <w:div w:id="835219647">
                      <w:marLeft w:val="0"/>
                      <w:marRight w:val="0"/>
                      <w:marTop w:val="0"/>
                      <w:marBottom w:val="0"/>
                      <w:divBdr>
                        <w:top w:val="none" w:sz="0" w:space="0" w:color="auto"/>
                        <w:left w:val="none" w:sz="0" w:space="0" w:color="auto"/>
                        <w:bottom w:val="none" w:sz="0" w:space="0" w:color="auto"/>
                        <w:right w:val="none" w:sz="0" w:space="0" w:color="auto"/>
                      </w:divBdr>
                      <w:divsChild>
                        <w:div w:id="1531186151">
                          <w:marLeft w:val="0"/>
                          <w:marRight w:val="0"/>
                          <w:marTop w:val="0"/>
                          <w:marBottom w:val="0"/>
                          <w:divBdr>
                            <w:top w:val="none" w:sz="0" w:space="0" w:color="auto"/>
                            <w:left w:val="none" w:sz="0" w:space="0" w:color="auto"/>
                            <w:bottom w:val="none" w:sz="0" w:space="0" w:color="auto"/>
                            <w:right w:val="none" w:sz="0" w:space="0" w:color="auto"/>
                          </w:divBdr>
                          <w:divsChild>
                            <w:div w:id="1407872250">
                              <w:marLeft w:val="0"/>
                              <w:marRight w:val="0"/>
                              <w:marTop w:val="0"/>
                              <w:marBottom w:val="0"/>
                              <w:divBdr>
                                <w:top w:val="none" w:sz="0" w:space="0" w:color="auto"/>
                                <w:left w:val="none" w:sz="0" w:space="0" w:color="auto"/>
                                <w:bottom w:val="none" w:sz="0" w:space="0" w:color="auto"/>
                                <w:right w:val="none" w:sz="0" w:space="0" w:color="auto"/>
                              </w:divBdr>
                              <w:divsChild>
                                <w:div w:id="1182010678">
                                  <w:marLeft w:val="0"/>
                                  <w:marRight w:val="0"/>
                                  <w:marTop w:val="0"/>
                                  <w:marBottom w:val="0"/>
                                  <w:divBdr>
                                    <w:top w:val="none" w:sz="0" w:space="0" w:color="auto"/>
                                    <w:left w:val="none" w:sz="0" w:space="0" w:color="auto"/>
                                    <w:bottom w:val="none" w:sz="0" w:space="0" w:color="auto"/>
                                    <w:right w:val="none" w:sz="0" w:space="0" w:color="auto"/>
                                  </w:divBdr>
                                  <w:divsChild>
                                    <w:div w:id="293758422">
                                      <w:marLeft w:val="0"/>
                                      <w:marRight w:val="0"/>
                                      <w:marTop w:val="0"/>
                                      <w:marBottom w:val="0"/>
                                      <w:divBdr>
                                        <w:top w:val="none" w:sz="0" w:space="0" w:color="auto"/>
                                        <w:left w:val="none" w:sz="0" w:space="0" w:color="auto"/>
                                        <w:bottom w:val="none" w:sz="0" w:space="0" w:color="auto"/>
                                        <w:right w:val="none" w:sz="0" w:space="0" w:color="auto"/>
                                      </w:divBdr>
                                    </w:div>
                                    <w:div w:id="25765292">
                                      <w:marLeft w:val="0"/>
                                      <w:marRight w:val="0"/>
                                      <w:marTop w:val="0"/>
                                      <w:marBottom w:val="0"/>
                                      <w:divBdr>
                                        <w:top w:val="none" w:sz="0" w:space="0" w:color="auto"/>
                                        <w:left w:val="none" w:sz="0" w:space="0" w:color="auto"/>
                                        <w:bottom w:val="none" w:sz="0" w:space="0" w:color="auto"/>
                                        <w:right w:val="none" w:sz="0" w:space="0" w:color="auto"/>
                                      </w:divBdr>
                                      <w:divsChild>
                                        <w:div w:id="1284463232">
                                          <w:marLeft w:val="0"/>
                                          <w:marRight w:val="165"/>
                                          <w:marTop w:val="150"/>
                                          <w:marBottom w:val="0"/>
                                          <w:divBdr>
                                            <w:top w:val="none" w:sz="0" w:space="0" w:color="auto"/>
                                            <w:left w:val="none" w:sz="0" w:space="0" w:color="auto"/>
                                            <w:bottom w:val="none" w:sz="0" w:space="0" w:color="auto"/>
                                            <w:right w:val="none" w:sz="0" w:space="0" w:color="auto"/>
                                          </w:divBdr>
                                          <w:divsChild>
                                            <w:div w:id="688263034">
                                              <w:marLeft w:val="0"/>
                                              <w:marRight w:val="0"/>
                                              <w:marTop w:val="0"/>
                                              <w:marBottom w:val="0"/>
                                              <w:divBdr>
                                                <w:top w:val="none" w:sz="0" w:space="0" w:color="auto"/>
                                                <w:left w:val="none" w:sz="0" w:space="0" w:color="auto"/>
                                                <w:bottom w:val="none" w:sz="0" w:space="0" w:color="auto"/>
                                                <w:right w:val="none" w:sz="0" w:space="0" w:color="auto"/>
                                              </w:divBdr>
                                              <w:divsChild>
                                                <w:div w:id="19737094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3743">
      <w:bodyDiv w:val="1"/>
      <w:marLeft w:val="0"/>
      <w:marRight w:val="0"/>
      <w:marTop w:val="0"/>
      <w:marBottom w:val="0"/>
      <w:divBdr>
        <w:top w:val="none" w:sz="0" w:space="0" w:color="auto"/>
        <w:left w:val="none" w:sz="0" w:space="0" w:color="auto"/>
        <w:bottom w:val="none" w:sz="0" w:space="0" w:color="auto"/>
        <w:right w:val="none" w:sz="0" w:space="0" w:color="auto"/>
      </w:divBdr>
    </w:div>
    <w:div w:id="1517118378">
      <w:bodyDiv w:val="1"/>
      <w:marLeft w:val="0"/>
      <w:marRight w:val="0"/>
      <w:marTop w:val="0"/>
      <w:marBottom w:val="0"/>
      <w:divBdr>
        <w:top w:val="none" w:sz="0" w:space="0" w:color="auto"/>
        <w:left w:val="none" w:sz="0" w:space="0" w:color="auto"/>
        <w:bottom w:val="none" w:sz="0" w:space="0" w:color="auto"/>
        <w:right w:val="none" w:sz="0" w:space="0" w:color="auto"/>
      </w:divBdr>
      <w:divsChild>
        <w:div w:id="1967660337">
          <w:marLeft w:val="0"/>
          <w:marRight w:val="0"/>
          <w:marTop w:val="100"/>
          <w:marBottom w:val="0"/>
          <w:divBdr>
            <w:top w:val="none" w:sz="0" w:space="0" w:color="auto"/>
            <w:left w:val="none" w:sz="0" w:space="0" w:color="auto"/>
            <w:bottom w:val="none" w:sz="0" w:space="0" w:color="auto"/>
            <w:right w:val="none" w:sz="0" w:space="0" w:color="auto"/>
          </w:divBdr>
        </w:div>
        <w:div w:id="1291787745">
          <w:marLeft w:val="0"/>
          <w:marRight w:val="0"/>
          <w:marTop w:val="0"/>
          <w:marBottom w:val="0"/>
          <w:divBdr>
            <w:top w:val="none" w:sz="0" w:space="0" w:color="auto"/>
            <w:left w:val="none" w:sz="0" w:space="0" w:color="auto"/>
            <w:bottom w:val="none" w:sz="0" w:space="0" w:color="auto"/>
            <w:right w:val="none" w:sz="0" w:space="0" w:color="auto"/>
          </w:divBdr>
          <w:divsChild>
            <w:div w:id="1546408070">
              <w:marLeft w:val="0"/>
              <w:marRight w:val="0"/>
              <w:marTop w:val="0"/>
              <w:marBottom w:val="0"/>
              <w:divBdr>
                <w:top w:val="none" w:sz="0" w:space="0" w:color="auto"/>
                <w:left w:val="none" w:sz="0" w:space="0" w:color="auto"/>
                <w:bottom w:val="none" w:sz="0" w:space="0" w:color="auto"/>
                <w:right w:val="none" w:sz="0" w:space="0" w:color="auto"/>
              </w:divBdr>
              <w:divsChild>
                <w:div w:id="16598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2985">
      <w:bodyDiv w:val="1"/>
      <w:marLeft w:val="0"/>
      <w:marRight w:val="0"/>
      <w:marTop w:val="0"/>
      <w:marBottom w:val="0"/>
      <w:divBdr>
        <w:top w:val="none" w:sz="0" w:space="0" w:color="auto"/>
        <w:left w:val="none" w:sz="0" w:space="0" w:color="auto"/>
        <w:bottom w:val="none" w:sz="0" w:space="0" w:color="auto"/>
        <w:right w:val="none" w:sz="0" w:space="0" w:color="auto"/>
      </w:divBdr>
    </w:div>
    <w:div w:id="1624187008">
      <w:bodyDiv w:val="1"/>
      <w:marLeft w:val="0"/>
      <w:marRight w:val="0"/>
      <w:marTop w:val="0"/>
      <w:marBottom w:val="0"/>
      <w:divBdr>
        <w:top w:val="none" w:sz="0" w:space="0" w:color="auto"/>
        <w:left w:val="none" w:sz="0" w:space="0" w:color="auto"/>
        <w:bottom w:val="none" w:sz="0" w:space="0" w:color="auto"/>
        <w:right w:val="none" w:sz="0" w:space="0" w:color="auto"/>
      </w:divBdr>
    </w:div>
    <w:div w:id="1677610000">
      <w:bodyDiv w:val="1"/>
      <w:marLeft w:val="0"/>
      <w:marRight w:val="0"/>
      <w:marTop w:val="0"/>
      <w:marBottom w:val="0"/>
      <w:divBdr>
        <w:top w:val="none" w:sz="0" w:space="0" w:color="auto"/>
        <w:left w:val="none" w:sz="0" w:space="0" w:color="auto"/>
        <w:bottom w:val="none" w:sz="0" w:space="0" w:color="auto"/>
        <w:right w:val="none" w:sz="0" w:space="0" w:color="auto"/>
      </w:divBdr>
    </w:div>
    <w:div w:id="17763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hs.texas.gov/doing-business-hhs/provider-portals/protective-services-providers/child-care-licensing" TargetMode="External"/><Relationship Id="rId18" Type="http://schemas.openxmlformats.org/officeDocument/2006/relationships/hyperlink" Target="mailto:CCReliefFunds@trelliscompany.org" TargetMode="External"/><Relationship Id="rId26" Type="http://schemas.openxmlformats.org/officeDocument/2006/relationships/hyperlink" Target="https://twc.texas.gov/files/policy_letters/attachments/17-21-att-1-twc.pdf" TargetMode="External"/><Relationship Id="rId39" Type="http://schemas.openxmlformats.org/officeDocument/2006/relationships/hyperlink" Target="https://www.childcare.texas.gov/time-space-calculation?hsLang=en" TargetMode="External"/><Relationship Id="rId21" Type="http://schemas.openxmlformats.org/officeDocument/2006/relationships/hyperlink" Target="https://www.twc.texas.gov/programs/child-care-relief-funding" TargetMode="External"/><Relationship Id="rId34" Type="http://schemas.openxmlformats.org/officeDocument/2006/relationships/hyperlink" Target="https://f.hubspotusercontent30.net/hubfs/19993137/pdf/CC%20Workforce%20Support%20-%20Provider%20Decision%20Tool_ENGLISH.pdf" TargetMode="External"/><Relationship Id="rId42" Type="http://schemas.openxmlformats.org/officeDocument/2006/relationships/hyperlink" Target="https://f.hubspotusercontent30.net/hubfs/19993137/pdf/TX%20Scholarship%20Policy_ENGLISH.pdf" TargetMode="External"/><Relationship Id="rId47" Type="http://schemas.openxmlformats.org/officeDocument/2006/relationships/hyperlink" Target="https://f.hubspotusercontent30.net/hubfs/19993137/pdf/TX%20Documenting%20Expenses%20and%20Preparing%20for%20Monitoring_ENGLISH.pdf" TargetMode="External"/><Relationship Id="rId50" Type="http://schemas.openxmlformats.org/officeDocument/2006/relationships/hyperlink" Target="https://f.hubspotusercontent30.net/hubfs/19993137/pdf/TX%20Documenting%20Expenses%20and%20Preparing%20for%20Monitoring_English_508.pdf?__hstc=203526031.db61acaf4c7486bd7113791b53079d25.1637072395769.1637253922181.1637331929007.3&amp;__hssc=203526031.10.1637331929007&amp;__hsfp=3400650161&amp;hsCtaTracking=85c778e8-529a-4c23-bf21-0b34bd8134a1%7C5941ecfa-2a1e-4e14-98bf-a70eda5997f1"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CReliefFunds@trelliscompany.org" TargetMode="External"/><Relationship Id="rId29" Type="http://schemas.openxmlformats.org/officeDocument/2006/relationships/hyperlink" Target="https://www.childcare.texas.gov/2022-ccrf-calculator" TargetMode="External"/><Relationship Id="rId11" Type="http://schemas.openxmlformats.org/officeDocument/2006/relationships/hyperlink" Target="https://www.twc.texas.gov/programs/child-care-relief-funding" TargetMode="External"/><Relationship Id="rId24" Type="http://schemas.openxmlformats.org/officeDocument/2006/relationships/hyperlink" Target="https://find.childcare.texas.gov/" TargetMode="External"/><Relationship Id="rId32" Type="http://schemas.openxmlformats.org/officeDocument/2006/relationships/hyperlink" Target="mailto:CCReliefFunds@trelliscompany.org" TargetMode="External"/><Relationship Id="rId37" Type="http://schemas.openxmlformats.org/officeDocument/2006/relationships/hyperlink" Target="https://f.hubspotusercontent30.net/hubfs/19993137/pdf/CC%20Workforce%20Support%20-%20Provider%20Decision%20Tool_SPANISH.pdf" TargetMode="External"/><Relationship Id="rId40" Type="http://schemas.openxmlformats.org/officeDocument/2006/relationships/hyperlink" Target="https://www.childcare.texas.gov/free-business-coaching?hsLang=en" TargetMode="External"/><Relationship Id="rId45" Type="http://schemas.openxmlformats.org/officeDocument/2006/relationships/hyperlink" Target="https://www.childcare.texas.gov/free-business-coaching?hsLang=en" TargetMode="External"/><Relationship Id="rId53" Type="http://schemas.openxmlformats.org/officeDocument/2006/relationships/hyperlink" Target="https://www.childcare.texas.gov/free-business-coaching?hsLang=en"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hs.texas.gov/doing-business-hhs/provider-portals/protective-services-providers/child-care-licensing" TargetMode="External"/><Relationship Id="rId31" Type="http://schemas.openxmlformats.org/officeDocument/2006/relationships/hyperlink" Target="https://svi.cdc.gov/map.html" TargetMode="External"/><Relationship Id="rId44" Type="http://schemas.openxmlformats.org/officeDocument/2006/relationships/hyperlink" Target="https://www.childcare.texas.gov/free-business-coaching?hsLang=en" TargetMode="External"/><Relationship Id="rId52" Type="http://schemas.openxmlformats.org/officeDocument/2006/relationships/hyperlink" Target="https://childcare.texa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ReliefFunds@trelliscompany.org" TargetMode="External"/><Relationship Id="rId22" Type="http://schemas.openxmlformats.org/officeDocument/2006/relationships/hyperlink" Target="mailto:CCReliefFunds@trelliscompany.org" TargetMode="External"/><Relationship Id="rId27" Type="http://schemas.openxmlformats.org/officeDocument/2006/relationships/hyperlink" Target="https://txicfw.socialwork.utexas.edu/wp-content/uploads/2021/09/Supplemental-Report_2021-Texas-Child-Care-Market-Rate-Survey.pdf" TargetMode="External"/><Relationship Id="rId30" Type="http://schemas.openxmlformats.org/officeDocument/2006/relationships/hyperlink" Target="https://www.twc.texas.gov/files/news/child-care-desert-by-zip-code-twc.xlsx" TargetMode="External"/><Relationship Id="rId35" Type="http://schemas.openxmlformats.org/officeDocument/2006/relationships/hyperlink" Target="https://f.hubspotusercontent30.net/hubfs/19993137/pdf/CC%20Workforce%20Support%20-%20Provider%20Decision%20Tool_SPANISH.pdf" TargetMode="External"/><Relationship Id="rId43" Type="http://schemas.openxmlformats.org/officeDocument/2006/relationships/hyperlink" Target="https://f.hubspotusercontent30.net/hubfs/19993137/pdf/TX%20Scholarship%20Policy_SPANISH.pdf" TargetMode="External"/><Relationship Id="rId48" Type="http://schemas.openxmlformats.org/officeDocument/2006/relationships/hyperlink" Target="https://f.hubspotusercontent30.net/hubfs/19993137/pdf/TX%20Documenting%20Expenses%20and%20Preparing%20for%20Monitoring_SPANISH.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CReliefFunds@trelliscompany.org" TargetMode="External"/><Relationship Id="rId3" Type="http://schemas.openxmlformats.org/officeDocument/2006/relationships/customXml" Target="../customXml/item3.xml"/><Relationship Id="rId12" Type="http://schemas.openxmlformats.org/officeDocument/2006/relationships/hyperlink" Target="https://www.childcare.texas.gov/preparing-for-the-child-care-relief-fund" TargetMode="External"/><Relationship Id="rId17" Type="http://schemas.openxmlformats.org/officeDocument/2006/relationships/hyperlink" Target="https://www.twc.texas.gov/directory-workforce-solutions-offices-services" TargetMode="External"/><Relationship Id="rId25" Type="http://schemas.openxmlformats.org/officeDocument/2006/relationships/hyperlink" Target="https://www.cdc.gov/coronavirus/2019-%20ncov/community/schools-childcare/guidance-for-childcare.html" TargetMode="External"/><Relationship Id="rId33" Type="http://schemas.openxmlformats.org/officeDocument/2006/relationships/hyperlink" Target="mailto:CCReliefFunds@trelliscompany.org" TargetMode="External"/><Relationship Id="rId38" Type="http://schemas.openxmlformats.org/officeDocument/2006/relationships/hyperlink" Target="https://www.childcare.texas.gov/free-business-coaching?hsLang=en" TargetMode="External"/><Relationship Id="rId46" Type="http://schemas.openxmlformats.org/officeDocument/2006/relationships/hyperlink" Target="mailto:CCReliefFunds@Trelliscompany.org" TargetMode="External"/><Relationship Id="rId20" Type="http://schemas.openxmlformats.org/officeDocument/2006/relationships/hyperlink" Target="mailto:CCReliefFunds@trelliscompany.org" TargetMode="External"/><Relationship Id="rId41" Type="http://schemas.openxmlformats.org/officeDocument/2006/relationships/hyperlink" Target="https://twc.texas.gov/files/policy_letters/attachments/17-21-att-1-twc.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hs.texas.gov/doing-business-hhs/provider-portals/protective-services-providers/child-care-licensing" TargetMode="External"/><Relationship Id="rId23" Type="http://schemas.openxmlformats.org/officeDocument/2006/relationships/hyperlink" Target="https://www.twc.texas.gov/programs/child-care-relief-funding" TargetMode="External"/><Relationship Id="rId28" Type="http://schemas.openxmlformats.org/officeDocument/2006/relationships/hyperlink" Target="mailto:CCReliefFunds@trelliscompany.org" TargetMode="External"/><Relationship Id="rId36" Type="http://schemas.openxmlformats.org/officeDocument/2006/relationships/hyperlink" Target="https://f.hubspotusercontent30.net/hubfs/19993137/pdf/CC%20Workforce%20Support%20-%20Provider%20Decision%20Tool_ENGLISH.pdf" TargetMode="External"/><Relationship Id="rId49" Type="http://schemas.openxmlformats.org/officeDocument/2006/relationships/hyperlink" Target="https://f.hubspotusercontent30.net/hubfs/19993137/pdf/TX%20Documenting%20Expenses%20and%20Preparing%20for%20Monitoring_Vietname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7645A84322634EB2B9EFDE86C78082" ma:contentTypeVersion="24" ma:contentTypeDescription="Create a new document." ma:contentTypeScope="" ma:versionID="d8b7d8cbda28dde008c2abca231d9141">
  <xsd:schema xmlns:xsd="http://www.w3.org/2001/XMLSchema" xmlns:xs="http://www.w3.org/2001/XMLSchema" xmlns:p="http://schemas.microsoft.com/office/2006/metadata/properties" xmlns:ns2="0690d148-e248-47ab-98cd-f477ea52990c" xmlns:ns3="35625ac7-1bfd-4a7f-9a7f-d13086bfa749" xmlns:ns4="d75cc3ea-6d34-48b9-955f-209672471296" targetNamespace="http://schemas.microsoft.com/office/2006/metadata/properties" ma:root="true" ma:fieldsID="97adcc003ecc36d20a888724b3baf34f" ns2:_="" ns3:_="" ns4:_="">
    <xsd:import namespace="0690d148-e248-47ab-98cd-f477ea52990c"/>
    <xsd:import namespace="35625ac7-1bfd-4a7f-9a7f-d13086bfa749"/>
    <xsd:import namespace="d75cc3ea-6d34-48b9-955f-2096724712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opic"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HostedBy" minOccurs="0"/>
                <xsd:element ref="ns2:RecordingLink"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d148-e248-47ab-98cd-f477ea529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Topic" ma:index="12" nillable="true" ma:displayName="Topic" ma:format="Dropdown" ma:internalName="Topic">
      <xsd:simpleType>
        <xsd:union memberTypes="dms:Text">
          <xsd:simpleType>
            <xsd:restriction base="dms:Choice">
              <xsd:enumeration value="TRS 4-Year Review"/>
              <xsd:enumeration value="TRS Funding"/>
              <xsd:enumeration value="QPR"/>
              <xsd:enumeration value="Other"/>
            </xsd:restriction>
          </xsd:simpleType>
        </xsd:un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HostedBy" ma:index="21" nillable="true" ma:displayName="Hosted By" ma:description="indicate who hosted the webinar" ma:format="Dropdown" ma:internalName="HostedBy">
      <xsd:simpleType>
        <xsd:restriction base="dms:Choice">
          <xsd:enumeration value="ACF_OCC"/>
          <xsd:enumeration value="Conference"/>
          <xsd:enumeration value="Other"/>
          <xsd:enumeration value="Child Care Aware"/>
          <xsd:enumeration value="Choice 5"/>
        </xsd:restriction>
      </xsd:simpleType>
    </xsd:element>
    <xsd:element name="RecordingLink" ma:index="22" nillable="true" ma:displayName="Recording Link" ma:description="insert the link to access a recording of this webinar" ma:format="Hyperlink" ma:internalName="Recording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Metadata xmlns="0690d148-e248-47ab-98cd-f477ea52990c" xsi:nil="true"/>
    <MediaServiceFastMetadata xmlns="0690d148-e248-47ab-98cd-f477ea52990c" xsi:nil="true"/>
    <RecordingLink xmlns="0690d148-e248-47ab-98cd-f477ea52990c">
      <Url xsi:nil="true"/>
      <Description xsi:nil="true"/>
    </RecordingLink>
    <Topic xmlns="0690d148-e248-47ab-98cd-f477ea52990c" xsi:nil="true"/>
    <HostedBy xmlns="0690d148-e248-47ab-98cd-f477ea52990c" xsi:nil="true"/>
    <lcf76f155ced4ddcb4097134ff3c332f xmlns="0690d148-e248-47ab-98cd-f477ea52990c">
      <Terms xmlns="http://schemas.microsoft.com/office/infopath/2007/PartnerControls"/>
    </lcf76f155ced4ddcb4097134ff3c332f>
    <TaxCatchAll xmlns="d75cc3ea-6d34-48b9-955f-2096724712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812E5-F939-431F-A967-BFFECE23FF15}">
  <ds:schemaRefs>
    <ds:schemaRef ds:uri="http://schemas.openxmlformats.org/officeDocument/2006/bibliography"/>
  </ds:schemaRefs>
</ds:datastoreItem>
</file>

<file path=customXml/itemProps2.xml><?xml version="1.0" encoding="utf-8"?>
<ds:datastoreItem xmlns:ds="http://schemas.openxmlformats.org/officeDocument/2006/customXml" ds:itemID="{651990F9-04F4-417F-9F16-982D60C5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d148-e248-47ab-98cd-f477ea52990c"/>
    <ds:schemaRef ds:uri="35625ac7-1bfd-4a7f-9a7f-d13086bfa749"/>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0E091-DFD8-4990-9015-BA0CF3CF8B4E}">
  <ds:schemaRefs>
    <ds:schemaRef ds:uri="http://schemas.microsoft.com/office/2006/metadata/properties"/>
    <ds:schemaRef ds:uri="http://schemas.microsoft.com/office/infopath/2007/PartnerControls"/>
    <ds:schemaRef ds:uri="0690d148-e248-47ab-98cd-f477ea52990c"/>
    <ds:schemaRef ds:uri="d75cc3ea-6d34-48b9-955f-209672471296"/>
  </ds:schemaRefs>
</ds:datastoreItem>
</file>

<file path=customXml/itemProps4.xml><?xml version="1.0" encoding="utf-8"?>
<ds:datastoreItem xmlns:ds="http://schemas.openxmlformats.org/officeDocument/2006/customXml" ds:itemID="{A8160F3C-6D85-4213-A9C6-994BA5528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7026</Words>
  <Characters>40052</Characters>
  <Application>Microsoft Office Word</Application>
  <DocSecurity>4</DocSecurity>
  <Lines>333</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46985</CharactersWithSpaces>
  <SharedDoc>false</SharedDoc>
  <HLinks>
    <vt:vector size="240" baseType="variant">
      <vt:variant>
        <vt:i4>1310795</vt:i4>
      </vt:variant>
      <vt:variant>
        <vt:i4>96</vt:i4>
      </vt:variant>
      <vt:variant>
        <vt:i4>0</vt:i4>
      </vt:variant>
      <vt:variant>
        <vt:i4>5</vt:i4>
      </vt:variant>
      <vt:variant>
        <vt:lpwstr>https://www.childcare.texas.gov/free-business-coaching?hsLang=en</vt:lpwstr>
      </vt:variant>
      <vt:variant>
        <vt:lpwstr/>
      </vt:variant>
      <vt:variant>
        <vt:i4>4194372</vt:i4>
      </vt:variant>
      <vt:variant>
        <vt:i4>93</vt:i4>
      </vt:variant>
      <vt:variant>
        <vt:i4>0</vt:i4>
      </vt:variant>
      <vt:variant>
        <vt:i4>5</vt:i4>
      </vt:variant>
      <vt:variant>
        <vt:lpwstr>https://childcare.texas.gov/</vt:lpwstr>
      </vt:variant>
      <vt:variant>
        <vt:lpwstr/>
      </vt:variant>
      <vt:variant>
        <vt:i4>2228252</vt:i4>
      </vt:variant>
      <vt:variant>
        <vt:i4>90</vt:i4>
      </vt:variant>
      <vt:variant>
        <vt:i4>0</vt:i4>
      </vt:variant>
      <vt:variant>
        <vt:i4>5</vt:i4>
      </vt:variant>
      <vt:variant>
        <vt:lpwstr>mailto:CCReliefFunds@trelliscompany.org</vt:lpwstr>
      </vt:variant>
      <vt:variant>
        <vt:lpwstr/>
      </vt:variant>
      <vt:variant>
        <vt:i4>1310795</vt:i4>
      </vt:variant>
      <vt:variant>
        <vt:i4>87</vt:i4>
      </vt:variant>
      <vt:variant>
        <vt:i4>0</vt:i4>
      </vt:variant>
      <vt:variant>
        <vt:i4>5</vt:i4>
      </vt:variant>
      <vt:variant>
        <vt:lpwstr>https://www.childcare.texas.gov/free-business-coaching?hsLang=en</vt:lpwstr>
      </vt:variant>
      <vt:variant>
        <vt:lpwstr/>
      </vt:variant>
      <vt:variant>
        <vt:i4>4653076</vt:i4>
      </vt:variant>
      <vt:variant>
        <vt:i4>84</vt:i4>
      </vt:variant>
      <vt:variant>
        <vt:i4>0</vt:i4>
      </vt:variant>
      <vt:variant>
        <vt:i4>5</vt:i4>
      </vt:variant>
      <vt:variant>
        <vt:lpwstr>https://www.childcare.texas.gov/time-space-calculation?hsLang=en</vt:lpwstr>
      </vt:variant>
      <vt:variant>
        <vt:lpwstr/>
      </vt:variant>
      <vt:variant>
        <vt:i4>196699</vt:i4>
      </vt:variant>
      <vt:variant>
        <vt:i4>81</vt:i4>
      </vt:variant>
      <vt:variant>
        <vt:i4>0</vt:i4>
      </vt:variant>
      <vt:variant>
        <vt:i4>5</vt:i4>
      </vt:variant>
      <vt:variant>
        <vt:lpwstr>https://f.hubspotusercontent30.net/hubfs/19993137/pdf/TX Documenting Expenses and Preparing for Monitoring_English_508.pdf?__hstc=203526031.db61acaf4c7486bd7113791b53079d25.1637072395769.1637253922181.1637331929007.3&amp;__hssc=203526031.10.1637331929007&amp;__hsfp=3400650161&amp;hsCtaTracking=85c778e8-529a-4c23-bf21-0b34bd8134a1%7C5941ecfa-2a1e-4e14-98bf-a70eda5997f1</vt:lpwstr>
      </vt:variant>
      <vt:variant>
        <vt:lpwstr/>
      </vt:variant>
      <vt:variant>
        <vt:i4>196699</vt:i4>
      </vt:variant>
      <vt:variant>
        <vt:i4>78</vt:i4>
      </vt:variant>
      <vt:variant>
        <vt:i4>0</vt:i4>
      </vt:variant>
      <vt:variant>
        <vt:i4>5</vt:i4>
      </vt:variant>
      <vt:variant>
        <vt:lpwstr>https://f.hubspotusercontent30.net/hubfs/19993137/pdf/TX Documenting Expenses and Preparing for Monitoring_English_508.pdf?__hstc=203526031.db61acaf4c7486bd7113791b53079d25.1637072395769.1637253922181.1637331929007.3&amp;__hssc=203526031.10.1637331929007&amp;__hsfp=3400650161&amp;hsCtaTracking=85c778e8-529a-4c23-bf21-0b34bd8134a1%7C5941ecfa-2a1e-4e14-98bf-a70eda5997f1</vt:lpwstr>
      </vt:variant>
      <vt:variant>
        <vt:lpwstr/>
      </vt:variant>
      <vt:variant>
        <vt:i4>1310795</vt:i4>
      </vt:variant>
      <vt:variant>
        <vt:i4>75</vt:i4>
      </vt:variant>
      <vt:variant>
        <vt:i4>0</vt:i4>
      </vt:variant>
      <vt:variant>
        <vt:i4>5</vt:i4>
      </vt:variant>
      <vt:variant>
        <vt:lpwstr>https://www.childcare.texas.gov/free-business-coaching?hsLang=en</vt:lpwstr>
      </vt:variant>
      <vt:variant>
        <vt:lpwstr/>
      </vt:variant>
      <vt:variant>
        <vt:i4>1310795</vt:i4>
      </vt:variant>
      <vt:variant>
        <vt:i4>72</vt:i4>
      </vt:variant>
      <vt:variant>
        <vt:i4>0</vt:i4>
      </vt:variant>
      <vt:variant>
        <vt:i4>5</vt:i4>
      </vt:variant>
      <vt:variant>
        <vt:lpwstr>https://www.childcare.texas.gov/free-business-coaching?hsLang=en</vt:lpwstr>
      </vt:variant>
      <vt:variant>
        <vt:lpwstr/>
      </vt:variant>
      <vt:variant>
        <vt:i4>1310795</vt:i4>
      </vt:variant>
      <vt:variant>
        <vt:i4>69</vt:i4>
      </vt:variant>
      <vt:variant>
        <vt:i4>0</vt:i4>
      </vt:variant>
      <vt:variant>
        <vt:i4>5</vt:i4>
      </vt:variant>
      <vt:variant>
        <vt:lpwstr>https://www.childcare.texas.gov/free-business-coaching?hsLang=en</vt:lpwstr>
      </vt:variant>
      <vt:variant>
        <vt:lpwstr/>
      </vt:variant>
      <vt:variant>
        <vt:i4>8257550</vt:i4>
      </vt:variant>
      <vt:variant>
        <vt:i4>66</vt:i4>
      </vt:variant>
      <vt:variant>
        <vt:i4>0</vt:i4>
      </vt:variant>
      <vt:variant>
        <vt:i4>5</vt:i4>
      </vt:variant>
      <vt:variant>
        <vt:lpwstr>https://twc.texas.gov/files/policy_letters/attachments/17-21-att-1-twc.pdf</vt:lpwstr>
      </vt:variant>
      <vt:variant>
        <vt:lpwstr/>
      </vt:variant>
      <vt:variant>
        <vt:i4>1310795</vt:i4>
      </vt:variant>
      <vt:variant>
        <vt:i4>63</vt:i4>
      </vt:variant>
      <vt:variant>
        <vt:i4>0</vt:i4>
      </vt:variant>
      <vt:variant>
        <vt:i4>5</vt:i4>
      </vt:variant>
      <vt:variant>
        <vt:lpwstr>https://www.childcare.texas.gov/free-business-coaching?hsLang=en</vt:lpwstr>
      </vt:variant>
      <vt:variant>
        <vt:lpwstr/>
      </vt:variant>
      <vt:variant>
        <vt:i4>2228252</vt:i4>
      </vt:variant>
      <vt:variant>
        <vt:i4>60</vt:i4>
      </vt:variant>
      <vt:variant>
        <vt:i4>0</vt:i4>
      </vt:variant>
      <vt:variant>
        <vt:i4>5</vt:i4>
      </vt:variant>
      <vt:variant>
        <vt:lpwstr>mailto:CCReliefFunds@trelliscompany.org</vt:lpwstr>
      </vt:variant>
      <vt:variant>
        <vt:lpwstr/>
      </vt:variant>
      <vt:variant>
        <vt:i4>2228252</vt:i4>
      </vt:variant>
      <vt:variant>
        <vt:i4>57</vt:i4>
      </vt:variant>
      <vt:variant>
        <vt:i4>0</vt:i4>
      </vt:variant>
      <vt:variant>
        <vt:i4>5</vt:i4>
      </vt:variant>
      <vt:variant>
        <vt:lpwstr>mailto:CCReliefFunds@trelliscompany.org</vt:lpwstr>
      </vt:variant>
      <vt:variant>
        <vt:lpwstr/>
      </vt:variant>
      <vt:variant>
        <vt:i4>1310803</vt:i4>
      </vt:variant>
      <vt:variant>
        <vt:i4>51</vt:i4>
      </vt:variant>
      <vt:variant>
        <vt:i4>0</vt:i4>
      </vt:variant>
      <vt:variant>
        <vt:i4>5</vt:i4>
      </vt:variant>
      <vt:variant>
        <vt:lpwstr>https://svi.cdc.gov/map.html</vt:lpwstr>
      </vt:variant>
      <vt:variant>
        <vt:lpwstr/>
      </vt:variant>
      <vt:variant>
        <vt:i4>7667839</vt:i4>
      </vt:variant>
      <vt:variant>
        <vt:i4>48</vt:i4>
      </vt:variant>
      <vt:variant>
        <vt:i4>0</vt:i4>
      </vt:variant>
      <vt:variant>
        <vt:i4>5</vt:i4>
      </vt:variant>
      <vt:variant>
        <vt:lpwstr>https://www.twc.texas.gov/files/news/child-care-desert-by-zip-code-twc.xlsx</vt:lpwstr>
      </vt:variant>
      <vt:variant>
        <vt:lpwstr/>
      </vt:variant>
      <vt:variant>
        <vt:i4>2228252</vt:i4>
      </vt:variant>
      <vt:variant>
        <vt:i4>45</vt:i4>
      </vt:variant>
      <vt:variant>
        <vt:i4>0</vt:i4>
      </vt:variant>
      <vt:variant>
        <vt:i4>5</vt:i4>
      </vt:variant>
      <vt:variant>
        <vt:lpwstr>mailto:CCReliefFunds@trelliscompany.org</vt:lpwstr>
      </vt:variant>
      <vt:variant>
        <vt:lpwstr/>
      </vt:variant>
      <vt:variant>
        <vt:i4>2424852</vt:i4>
      </vt:variant>
      <vt:variant>
        <vt:i4>39</vt:i4>
      </vt:variant>
      <vt:variant>
        <vt:i4>0</vt:i4>
      </vt:variant>
      <vt:variant>
        <vt:i4>5</vt:i4>
      </vt:variant>
      <vt:variant>
        <vt:lpwstr>https://txicfw.socialwork.utexas.edu/wp-content/uploads/2021/09/Supplemental-Report_2021-Texas-Child-Care-Market-Rate-Survey.pdf</vt:lpwstr>
      </vt:variant>
      <vt:variant>
        <vt:lpwstr/>
      </vt:variant>
      <vt:variant>
        <vt:i4>8257550</vt:i4>
      </vt:variant>
      <vt:variant>
        <vt:i4>36</vt:i4>
      </vt:variant>
      <vt:variant>
        <vt:i4>0</vt:i4>
      </vt:variant>
      <vt:variant>
        <vt:i4>5</vt:i4>
      </vt:variant>
      <vt:variant>
        <vt:lpwstr>https://twc.texas.gov/files/policy_letters/attachments/17-21-att-1-twc.pdf</vt:lpwstr>
      </vt:variant>
      <vt:variant>
        <vt:lpwstr/>
      </vt:variant>
      <vt:variant>
        <vt:i4>6946936</vt:i4>
      </vt:variant>
      <vt:variant>
        <vt:i4>33</vt:i4>
      </vt:variant>
      <vt:variant>
        <vt:i4>0</vt:i4>
      </vt:variant>
      <vt:variant>
        <vt:i4>5</vt:i4>
      </vt:variant>
      <vt:variant>
        <vt:lpwstr>https://www.cdc.gov/coronavirus/2019- ncov/community/schools-childcare/guidance-for-childcare.html</vt:lpwstr>
      </vt:variant>
      <vt:variant>
        <vt:lpwstr/>
      </vt:variant>
      <vt:variant>
        <vt:i4>1572888</vt:i4>
      </vt:variant>
      <vt:variant>
        <vt:i4>30</vt:i4>
      </vt:variant>
      <vt:variant>
        <vt:i4>0</vt:i4>
      </vt:variant>
      <vt:variant>
        <vt:i4>5</vt:i4>
      </vt:variant>
      <vt:variant>
        <vt:lpwstr>https://find.childcare.texas.gov/</vt:lpwstr>
      </vt:variant>
      <vt:variant>
        <vt:lpwstr/>
      </vt:variant>
      <vt:variant>
        <vt:i4>2228252</vt:i4>
      </vt:variant>
      <vt:variant>
        <vt:i4>27</vt:i4>
      </vt:variant>
      <vt:variant>
        <vt:i4>0</vt:i4>
      </vt:variant>
      <vt:variant>
        <vt:i4>5</vt:i4>
      </vt:variant>
      <vt:variant>
        <vt:lpwstr>mailto:CCReliefFunds@trelliscompany.org</vt:lpwstr>
      </vt:variant>
      <vt:variant>
        <vt:lpwstr/>
      </vt:variant>
      <vt:variant>
        <vt:i4>2228252</vt:i4>
      </vt:variant>
      <vt:variant>
        <vt:i4>24</vt:i4>
      </vt:variant>
      <vt:variant>
        <vt:i4>0</vt:i4>
      </vt:variant>
      <vt:variant>
        <vt:i4>5</vt:i4>
      </vt:variant>
      <vt:variant>
        <vt:lpwstr>mailto:CCReliefFunds@trelliscompany.org</vt:lpwstr>
      </vt:variant>
      <vt:variant>
        <vt:lpwstr/>
      </vt:variant>
      <vt:variant>
        <vt:i4>589902</vt:i4>
      </vt:variant>
      <vt:variant>
        <vt:i4>21</vt:i4>
      </vt:variant>
      <vt:variant>
        <vt:i4>0</vt:i4>
      </vt:variant>
      <vt:variant>
        <vt:i4>5</vt:i4>
      </vt:variant>
      <vt:variant>
        <vt:lpwstr>https://www.hhs.texas.gov/doing-business-hhs/provider-portals/protective-services-providers/child-care-licensing</vt:lpwstr>
      </vt:variant>
      <vt:variant>
        <vt:lpwstr/>
      </vt:variant>
      <vt:variant>
        <vt:i4>2228252</vt:i4>
      </vt:variant>
      <vt:variant>
        <vt:i4>18</vt:i4>
      </vt:variant>
      <vt:variant>
        <vt:i4>0</vt:i4>
      </vt:variant>
      <vt:variant>
        <vt:i4>5</vt:i4>
      </vt:variant>
      <vt:variant>
        <vt:lpwstr>mailto:CCReliefFunds@trelliscompany.org</vt:lpwstr>
      </vt:variant>
      <vt:variant>
        <vt:lpwstr/>
      </vt:variant>
      <vt:variant>
        <vt:i4>852045</vt:i4>
      </vt:variant>
      <vt:variant>
        <vt:i4>15</vt:i4>
      </vt:variant>
      <vt:variant>
        <vt:i4>0</vt:i4>
      </vt:variant>
      <vt:variant>
        <vt:i4>5</vt:i4>
      </vt:variant>
      <vt:variant>
        <vt:lpwstr>https://www.twc.texas.gov/directory-workforce-solutions-offices-services</vt:lpwstr>
      </vt:variant>
      <vt:variant>
        <vt:lpwstr/>
      </vt:variant>
      <vt:variant>
        <vt:i4>2228252</vt:i4>
      </vt:variant>
      <vt:variant>
        <vt:i4>12</vt:i4>
      </vt:variant>
      <vt:variant>
        <vt:i4>0</vt:i4>
      </vt:variant>
      <vt:variant>
        <vt:i4>5</vt:i4>
      </vt:variant>
      <vt:variant>
        <vt:lpwstr>mailto:CCReliefFunds@trelliscompany.org</vt:lpwstr>
      </vt:variant>
      <vt:variant>
        <vt:lpwstr/>
      </vt:variant>
      <vt:variant>
        <vt:i4>589902</vt:i4>
      </vt:variant>
      <vt:variant>
        <vt:i4>9</vt:i4>
      </vt:variant>
      <vt:variant>
        <vt:i4>0</vt:i4>
      </vt:variant>
      <vt:variant>
        <vt:i4>5</vt:i4>
      </vt:variant>
      <vt:variant>
        <vt:lpwstr>https://www.hhs.texas.gov/doing-business-hhs/provider-portals/protective-services-providers/child-care-licensing</vt:lpwstr>
      </vt:variant>
      <vt:variant>
        <vt:lpwstr/>
      </vt:variant>
      <vt:variant>
        <vt:i4>2228252</vt:i4>
      </vt:variant>
      <vt:variant>
        <vt:i4>6</vt:i4>
      </vt:variant>
      <vt:variant>
        <vt:i4>0</vt:i4>
      </vt:variant>
      <vt:variant>
        <vt:i4>5</vt:i4>
      </vt:variant>
      <vt:variant>
        <vt:lpwstr>mailto:CCReliefFunds@trelliscompany.org</vt:lpwstr>
      </vt:variant>
      <vt:variant>
        <vt:lpwstr/>
      </vt:variant>
      <vt:variant>
        <vt:i4>589902</vt:i4>
      </vt:variant>
      <vt:variant>
        <vt:i4>3</vt:i4>
      </vt:variant>
      <vt:variant>
        <vt:i4>0</vt:i4>
      </vt:variant>
      <vt:variant>
        <vt:i4>5</vt:i4>
      </vt:variant>
      <vt:variant>
        <vt:lpwstr>https://www.hhs.texas.gov/doing-business-hhs/provider-portals/protective-services-providers/child-care-licensing</vt:lpwstr>
      </vt:variant>
      <vt:variant>
        <vt:lpwstr/>
      </vt:variant>
      <vt:variant>
        <vt:i4>4653067</vt:i4>
      </vt:variant>
      <vt:variant>
        <vt:i4>0</vt:i4>
      </vt:variant>
      <vt:variant>
        <vt:i4>0</vt:i4>
      </vt:variant>
      <vt:variant>
        <vt:i4>5</vt:i4>
      </vt:variant>
      <vt:variant>
        <vt:lpwstr>https://www.childcare.texas.gov/preparing-for-the-child-care-relief-fund</vt:lpwstr>
      </vt:variant>
      <vt:variant>
        <vt:lpwstr/>
      </vt:variant>
      <vt:variant>
        <vt:i4>3735559</vt:i4>
      </vt:variant>
      <vt:variant>
        <vt:i4>24</vt:i4>
      </vt:variant>
      <vt:variant>
        <vt:i4>0</vt:i4>
      </vt:variant>
      <vt:variant>
        <vt:i4>5</vt:i4>
      </vt:variant>
      <vt:variant>
        <vt:lpwstr>mailto:catherine.arwood@twc.texas.gov</vt:lpwstr>
      </vt:variant>
      <vt:variant>
        <vt:lpwstr/>
      </vt:variant>
      <vt:variant>
        <vt:i4>1310780</vt:i4>
      </vt:variant>
      <vt:variant>
        <vt:i4>21</vt:i4>
      </vt:variant>
      <vt:variant>
        <vt:i4>0</vt:i4>
      </vt:variant>
      <vt:variant>
        <vt:i4>5</vt:i4>
      </vt:variant>
      <vt:variant>
        <vt:lpwstr>mailto:kathlyn.mchenry@twc.texas.gov</vt:lpwstr>
      </vt:variant>
      <vt:variant>
        <vt:lpwstr/>
      </vt:variant>
      <vt:variant>
        <vt:i4>5898357</vt:i4>
      </vt:variant>
      <vt:variant>
        <vt:i4>18</vt:i4>
      </vt:variant>
      <vt:variant>
        <vt:i4>0</vt:i4>
      </vt:variant>
      <vt:variant>
        <vt:i4>5</vt:i4>
      </vt:variant>
      <vt:variant>
        <vt:lpwstr>mailto:allison.wilson@twc.texas.gov</vt:lpwstr>
      </vt:variant>
      <vt:variant>
        <vt:lpwstr/>
      </vt:variant>
      <vt:variant>
        <vt:i4>1376383</vt:i4>
      </vt:variant>
      <vt:variant>
        <vt:i4>15</vt:i4>
      </vt:variant>
      <vt:variant>
        <vt:i4>0</vt:i4>
      </vt:variant>
      <vt:variant>
        <vt:i4>5</vt:i4>
      </vt:variant>
      <vt:variant>
        <vt:lpwstr>mailto:reagan.miller2@twc.texas.gov</vt:lpwstr>
      </vt:variant>
      <vt:variant>
        <vt:lpwstr/>
      </vt:variant>
      <vt:variant>
        <vt:i4>5898357</vt:i4>
      </vt:variant>
      <vt:variant>
        <vt:i4>12</vt:i4>
      </vt:variant>
      <vt:variant>
        <vt:i4>0</vt:i4>
      </vt:variant>
      <vt:variant>
        <vt:i4>5</vt:i4>
      </vt:variant>
      <vt:variant>
        <vt:lpwstr>mailto:allison.wilson@twc.texas.gov</vt:lpwstr>
      </vt:variant>
      <vt:variant>
        <vt:lpwstr/>
      </vt:variant>
      <vt:variant>
        <vt:i4>7471132</vt:i4>
      </vt:variant>
      <vt:variant>
        <vt:i4>9</vt:i4>
      </vt:variant>
      <vt:variant>
        <vt:i4>0</vt:i4>
      </vt:variant>
      <vt:variant>
        <vt:i4>5</vt:i4>
      </vt:variant>
      <vt:variant>
        <vt:lpwstr>https://www.twc.texas.gov/files/twc/commission_meeting_material_10.19.21_item16_dp_3rd_tranche_arpa_stabilization.pdf</vt:lpwstr>
      </vt:variant>
      <vt:variant>
        <vt:lpwstr/>
      </vt:variant>
      <vt:variant>
        <vt:i4>3735559</vt:i4>
      </vt:variant>
      <vt:variant>
        <vt:i4>6</vt:i4>
      </vt:variant>
      <vt:variant>
        <vt:i4>0</vt:i4>
      </vt:variant>
      <vt:variant>
        <vt:i4>5</vt:i4>
      </vt:variant>
      <vt:variant>
        <vt:lpwstr>mailto:catherine.arwood@twc.texas.gov</vt:lpwstr>
      </vt:variant>
      <vt:variant>
        <vt:lpwstr/>
      </vt:variant>
      <vt:variant>
        <vt:i4>1310780</vt:i4>
      </vt:variant>
      <vt:variant>
        <vt:i4>3</vt:i4>
      </vt:variant>
      <vt:variant>
        <vt:i4>0</vt:i4>
      </vt:variant>
      <vt:variant>
        <vt:i4>5</vt:i4>
      </vt:variant>
      <vt:variant>
        <vt:lpwstr>mailto:kathlyn.mchenry@twc.texas.gov</vt:lpwstr>
      </vt:variant>
      <vt:variant>
        <vt:lpwstr/>
      </vt:variant>
      <vt:variant>
        <vt:i4>5898357</vt:i4>
      </vt:variant>
      <vt:variant>
        <vt:i4>0</vt:i4>
      </vt:variant>
      <vt:variant>
        <vt:i4>0</vt:i4>
      </vt:variant>
      <vt:variant>
        <vt:i4>5</vt:i4>
      </vt:variant>
      <vt:variant>
        <vt:lpwstr>mailto:allison.wilson@twc.texas.gov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McHenry,Kathlyn</dc:creator>
  <cp:keywords/>
  <dc:description/>
  <cp:lastModifiedBy>Tonche,Crystal</cp:lastModifiedBy>
  <cp:revision>2</cp:revision>
  <dcterms:created xsi:type="dcterms:W3CDTF">2023-10-24T14:24:00Z</dcterms:created>
  <dcterms:modified xsi:type="dcterms:W3CDTF">2023-10-24T14:24:00Z</dcterms:modified>
  <cp:contentStatus>Final/Complete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0x0101008C7645A84322634EB2B9EFDE86C78082</vt:lpwstr>
  </property>
  <property fmtid="{D5CDD505-2E9C-101B-9397-08002B2CF9AE}" pid="3" name="RecordingLink">
    <vt:lpwstr>, </vt:lpwstr>
  </property>
  <property fmtid="{D5CDD505-2E9C-101B-9397-08002B2CF9AE}" pid="4" name="MediaServiceImageTags">
    <vt:lpwstr/>
  </property>
</Properties>
</file>